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9DE" w:rsidRDefault="003709DE" w:rsidP="005E6E47">
      <w:pPr>
        <w:outlineLvl w:val="0"/>
        <w:rPr>
          <w:rFonts w:ascii="Calibri" w:hAnsi="Calibri"/>
          <w:color w:val="000000"/>
        </w:rPr>
      </w:pPr>
      <w:r>
        <w:rPr>
          <w:rFonts w:ascii="Calibri" w:hAnsi="Calibri"/>
          <w:color w:val="000000"/>
        </w:rPr>
        <w:t>Oil price</w:t>
      </w:r>
      <w:r w:rsidR="00DE14AA">
        <w:rPr>
          <w:rFonts w:ascii="Calibri" w:hAnsi="Calibri"/>
          <w:color w:val="000000"/>
        </w:rPr>
        <w:t xml:space="preserve"> and stock </w:t>
      </w:r>
      <w:r w:rsidR="008E30C1">
        <w:rPr>
          <w:rFonts w:ascii="Calibri" w:hAnsi="Calibri"/>
          <w:color w:val="000000"/>
        </w:rPr>
        <w:t>m</w:t>
      </w:r>
      <w:r w:rsidR="00DE14AA">
        <w:rPr>
          <w:rFonts w:ascii="Calibri" w:hAnsi="Calibri"/>
          <w:color w:val="000000"/>
        </w:rPr>
        <w:t>arket</w:t>
      </w:r>
      <w:r>
        <w:rPr>
          <w:rFonts w:ascii="Calibri" w:hAnsi="Calibri"/>
          <w:color w:val="000000"/>
        </w:rPr>
        <w:t xml:space="preserve"> synchronization </w:t>
      </w:r>
      <w:r w:rsidR="008E30C1">
        <w:rPr>
          <w:rFonts w:ascii="Calibri" w:hAnsi="Calibri"/>
          <w:color w:val="000000"/>
        </w:rPr>
        <w:t>in GCC countries</w:t>
      </w:r>
    </w:p>
    <w:p w:rsidR="008E30C1" w:rsidRDefault="008E30C1" w:rsidP="00D7474F">
      <w:pPr>
        <w:rPr>
          <w:rFonts w:ascii="Calibri" w:hAnsi="Calibri"/>
          <w:color w:val="000000"/>
        </w:rPr>
      </w:pPr>
    </w:p>
    <w:p w:rsidR="00420F33" w:rsidRDefault="00420F33" w:rsidP="00D7474F">
      <w:pPr>
        <w:rPr>
          <w:rFonts w:ascii="Calibri" w:hAnsi="Calibri"/>
          <w:color w:val="000000"/>
        </w:rPr>
      </w:pPr>
    </w:p>
    <w:p w:rsidR="008E30C1" w:rsidRDefault="008E30C1" w:rsidP="00D7474F">
      <w:pPr>
        <w:rPr>
          <w:rFonts w:ascii="Calibri" w:hAnsi="Calibri"/>
          <w:color w:val="000000"/>
        </w:rPr>
      </w:pPr>
    </w:p>
    <w:p w:rsidR="001642DC" w:rsidRPr="004F365C" w:rsidRDefault="008E30C1" w:rsidP="005E6E47">
      <w:pPr>
        <w:outlineLvl w:val="0"/>
        <w:rPr>
          <w:rFonts w:ascii="Calibri" w:hAnsi="Calibri"/>
          <w:color w:val="000000"/>
          <w:vertAlign w:val="superscript"/>
        </w:rPr>
      </w:pPr>
      <w:r>
        <w:rPr>
          <w:rFonts w:ascii="Calibri" w:hAnsi="Calibri"/>
          <w:color w:val="000000"/>
        </w:rPr>
        <w:t>Rosmy Jean Louis</w:t>
      </w:r>
      <w:r w:rsidR="004F365C">
        <w:rPr>
          <w:rFonts w:ascii="Calibri" w:hAnsi="Calibri"/>
          <w:color w:val="000000"/>
          <w:vertAlign w:val="superscript"/>
        </w:rPr>
        <w:t>a</w:t>
      </w:r>
    </w:p>
    <w:p w:rsidR="008E30C1" w:rsidRPr="004F365C" w:rsidRDefault="008E30C1" w:rsidP="00D7474F">
      <w:pPr>
        <w:rPr>
          <w:rFonts w:ascii="Calibri" w:hAnsi="Calibri"/>
          <w:color w:val="000000"/>
          <w:vertAlign w:val="superscript"/>
        </w:rPr>
      </w:pPr>
      <w:r>
        <w:rPr>
          <w:rFonts w:ascii="Calibri" w:hAnsi="Calibri"/>
          <w:color w:val="000000"/>
        </w:rPr>
        <w:t>Faruk Balli</w:t>
      </w:r>
      <w:r w:rsidR="00347F7C">
        <w:rPr>
          <w:rFonts w:ascii="Calibri" w:hAnsi="Calibri"/>
          <w:color w:val="000000"/>
        </w:rPr>
        <w:t xml:space="preserve"> </w:t>
      </w:r>
      <w:r w:rsidR="004F365C">
        <w:rPr>
          <w:rFonts w:ascii="Calibri" w:hAnsi="Calibri"/>
          <w:color w:val="000000"/>
          <w:vertAlign w:val="superscript"/>
        </w:rPr>
        <w:t>b</w:t>
      </w:r>
    </w:p>
    <w:p w:rsidR="008E30C1" w:rsidRDefault="008E30C1" w:rsidP="00D7474F">
      <w:pPr>
        <w:rPr>
          <w:rFonts w:ascii="Calibri" w:hAnsi="Calibri"/>
          <w:color w:val="000000"/>
        </w:rPr>
      </w:pPr>
    </w:p>
    <w:p w:rsidR="008E30C1" w:rsidRDefault="008E30C1" w:rsidP="00D7474F">
      <w:pPr>
        <w:rPr>
          <w:rFonts w:ascii="Calibri" w:hAnsi="Calibri"/>
          <w:color w:val="000000"/>
        </w:rPr>
      </w:pPr>
    </w:p>
    <w:p w:rsidR="008E30C1" w:rsidRDefault="00347F7C" w:rsidP="005E6E47">
      <w:pPr>
        <w:jc w:val="center"/>
        <w:outlineLvl w:val="0"/>
        <w:rPr>
          <w:rFonts w:ascii="Calibri" w:hAnsi="Calibri"/>
          <w:color w:val="000000"/>
        </w:rPr>
      </w:pPr>
      <w:r>
        <w:rPr>
          <w:rFonts w:ascii="Calibri" w:hAnsi="Calibri"/>
          <w:color w:val="000000"/>
        </w:rPr>
        <w:t>Abstract</w:t>
      </w:r>
    </w:p>
    <w:p w:rsidR="000876C3" w:rsidRDefault="000876C3" w:rsidP="00347F7C">
      <w:pPr>
        <w:rPr>
          <w:rFonts w:ascii="Calibri" w:hAnsi="Calibri"/>
          <w:color w:val="000000"/>
        </w:rPr>
      </w:pPr>
    </w:p>
    <w:p w:rsidR="000876C3" w:rsidRDefault="00221CDE" w:rsidP="00347F7C">
      <w:pPr>
        <w:rPr>
          <w:rFonts w:ascii="Calibri" w:hAnsi="Calibri"/>
          <w:color w:val="000000"/>
        </w:rPr>
      </w:pPr>
      <w:r>
        <w:rPr>
          <w:rFonts w:ascii="Calibri" w:hAnsi="Calibri"/>
          <w:color w:val="000000"/>
        </w:rPr>
        <w:t>With a</w:t>
      </w:r>
      <w:r w:rsidR="000876C3">
        <w:rPr>
          <w:rFonts w:ascii="Calibri" w:hAnsi="Calibri"/>
          <w:color w:val="000000"/>
        </w:rPr>
        <w:t xml:space="preserve"> background </w:t>
      </w:r>
      <w:r>
        <w:rPr>
          <w:rFonts w:ascii="Calibri" w:hAnsi="Calibri"/>
          <w:color w:val="000000"/>
        </w:rPr>
        <w:t xml:space="preserve">of </w:t>
      </w:r>
      <w:r w:rsidR="000876C3">
        <w:rPr>
          <w:rFonts w:ascii="Calibri" w:hAnsi="Calibri"/>
          <w:color w:val="000000"/>
        </w:rPr>
        <w:t xml:space="preserve">the </w:t>
      </w:r>
      <w:r>
        <w:rPr>
          <w:rFonts w:ascii="Calibri" w:hAnsi="Calibri"/>
          <w:color w:val="000000"/>
        </w:rPr>
        <w:t>Gulf Cooperation Council (</w:t>
      </w:r>
      <w:r w:rsidR="000876C3">
        <w:rPr>
          <w:rFonts w:ascii="Calibri" w:hAnsi="Calibri"/>
          <w:color w:val="000000"/>
        </w:rPr>
        <w:t>GCC</w:t>
      </w:r>
      <w:r>
        <w:rPr>
          <w:rFonts w:ascii="Calibri" w:hAnsi="Calibri"/>
          <w:color w:val="000000"/>
        </w:rPr>
        <w:t>)</w:t>
      </w:r>
      <w:r w:rsidR="000876C3">
        <w:rPr>
          <w:rFonts w:ascii="Calibri" w:hAnsi="Calibri"/>
          <w:color w:val="000000"/>
        </w:rPr>
        <w:t xml:space="preserve"> economies </w:t>
      </w:r>
      <w:r>
        <w:rPr>
          <w:rFonts w:ascii="Calibri" w:hAnsi="Calibri"/>
          <w:color w:val="000000"/>
        </w:rPr>
        <w:t xml:space="preserve">being </w:t>
      </w:r>
      <w:r w:rsidR="000876C3">
        <w:rPr>
          <w:rFonts w:ascii="Calibri" w:hAnsi="Calibri"/>
          <w:color w:val="000000"/>
        </w:rPr>
        <w:t xml:space="preserve">dichotomous in nature and </w:t>
      </w:r>
      <w:r>
        <w:rPr>
          <w:rFonts w:ascii="Calibri" w:hAnsi="Calibri"/>
          <w:color w:val="000000"/>
        </w:rPr>
        <w:t xml:space="preserve">with </w:t>
      </w:r>
      <w:r w:rsidR="000876C3">
        <w:rPr>
          <w:rFonts w:ascii="Calibri" w:hAnsi="Calibri"/>
          <w:color w:val="000000"/>
        </w:rPr>
        <w:t xml:space="preserve">growth in the non-oil sector </w:t>
      </w:r>
      <w:r>
        <w:rPr>
          <w:rFonts w:ascii="Calibri" w:hAnsi="Calibri"/>
          <w:color w:val="000000"/>
        </w:rPr>
        <w:t xml:space="preserve">being </w:t>
      </w:r>
      <w:r w:rsidR="000876C3">
        <w:rPr>
          <w:rFonts w:ascii="Calibri" w:hAnsi="Calibri"/>
          <w:color w:val="000000"/>
        </w:rPr>
        <w:t xml:space="preserve">tributary to the oil sector, we document the extent of </w:t>
      </w:r>
      <w:r w:rsidR="001B5511">
        <w:rPr>
          <w:rFonts w:ascii="Calibri" w:hAnsi="Calibri"/>
          <w:color w:val="000000"/>
        </w:rPr>
        <w:t xml:space="preserve">synchronization between </w:t>
      </w:r>
      <w:r w:rsidR="00211D3C">
        <w:rPr>
          <w:rFonts w:ascii="Calibri" w:hAnsi="Calibri"/>
          <w:color w:val="000000"/>
        </w:rPr>
        <w:t>crude oil price</w:t>
      </w:r>
      <w:r>
        <w:rPr>
          <w:rFonts w:ascii="Calibri" w:hAnsi="Calibri"/>
          <w:color w:val="000000"/>
        </w:rPr>
        <w:t>s</w:t>
      </w:r>
      <w:r w:rsidR="00674202">
        <w:rPr>
          <w:rFonts w:ascii="Calibri" w:hAnsi="Calibri"/>
          <w:color w:val="000000"/>
        </w:rPr>
        <w:t xml:space="preserve"> and stock</w:t>
      </w:r>
      <w:r w:rsidR="001B5511">
        <w:rPr>
          <w:rFonts w:ascii="Calibri" w:hAnsi="Calibri"/>
          <w:color w:val="000000"/>
        </w:rPr>
        <w:t xml:space="preserve"> markets for each of the GCC markets and for the GCC as an economic bloc. We </w:t>
      </w:r>
      <w:r>
        <w:rPr>
          <w:rFonts w:ascii="Calibri" w:hAnsi="Calibri"/>
          <w:color w:val="000000"/>
        </w:rPr>
        <w:t xml:space="preserve">use </w:t>
      </w:r>
      <w:r w:rsidR="001B5511">
        <w:rPr>
          <w:rFonts w:ascii="Calibri" w:hAnsi="Calibri"/>
          <w:color w:val="000000"/>
        </w:rPr>
        <w:t xml:space="preserve">both the bivariate and multivariate non-parametric synchronicity measures proposed by Mink </w:t>
      </w:r>
      <w:r w:rsidR="00E1141E" w:rsidRPr="00E1141E">
        <w:rPr>
          <w:rFonts w:ascii="Calibri" w:hAnsi="Calibri"/>
          <w:i/>
          <w:color w:val="000000"/>
        </w:rPr>
        <w:t xml:space="preserve">et al. </w:t>
      </w:r>
      <w:r w:rsidR="001B5511">
        <w:rPr>
          <w:rFonts w:ascii="Calibri" w:hAnsi="Calibri"/>
          <w:color w:val="000000"/>
        </w:rPr>
        <w:t>(2007) to assess</w:t>
      </w:r>
      <w:r w:rsidR="000153BC">
        <w:rPr>
          <w:rFonts w:ascii="Calibri" w:hAnsi="Calibri"/>
          <w:color w:val="000000"/>
        </w:rPr>
        <w:t xml:space="preserve"> that</w:t>
      </w:r>
      <w:r w:rsidR="00211D3C">
        <w:rPr>
          <w:rFonts w:ascii="Calibri" w:hAnsi="Calibri"/>
          <w:color w:val="000000"/>
        </w:rPr>
        <w:t xml:space="preserve"> linkage</w:t>
      </w:r>
      <w:r w:rsidR="00AE67FE">
        <w:rPr>
          <w:rFonts w:ascii="Calibri" w:hAnsi="Calibri"/>
          <w:color w:val="000000"/>
        </w:rPr>
        <w:t xml:space="preserve">. </w:t>
      </w:r>
      <w:r w:rsidR="00936BF6">
        <w:rPr>
          <w:rFonts w:ascii="Calibri" w:hAnsi="Calibri"/>
          <w:color w:val="000000"/>
        </w:rPr>
        <w:t>W</w:t>
      </w:r>
      <w:r w:rsidR="00AE67FE">
        <w:rPr>
          <w:rFonts w:ascii="Calibri" w:hAnsi="Calibri"/>
          <w:color w:val="000000"/>
        </w:rPr>
        <w:t xml:space="preserve">e find </w:t>
      </w:r>
      <w:r>
        <w:rPr>
          <w:rFonts w:ascii="Calibri" w:hAnsi="Calibri"/>
          <w:color w:val="000000"/>
        </w:rPr>
        <w:t xml:space="preserve">a </w:t>
      </w:r>
      <w:r w:rsidR="009050BB">
        <w:rPr>
          <w:rFonts w:ascii="Calibri" w:hAnsi="Calibri"/>
          <w:color w:val="000000"/>
        </w:rPr>
        <w:t>low to mild</w:t>
      </w:r>
      <w:r w:rsidR="000153BC">
        <w:rPr>
          <w:rFonts w:ascii="Calibri" w:hAnsi="Calibri"/>
          <w:color w:val="000000"/>
        </w:rPr>
        <w:t xml:space="preserve"> (mild to strong)</w:t>
      </w:r>
      <w:r w:rsidR="009050BB">
        <w:rPr>
          <w:rFonts w:ascii="Calibri" w:hAnsi="Calibri"/>
          <w:color w:val="000000"/>
        </w:rPr>
        <w:t xml:space="preserve"> degree of synchronization between oil price and stock market returns (volatilities). In </w:t>
      </w:r>
      <w:r>
        <w:rPr>
          <w:rFonts w:ascii="Calibri" w:hAnsi="Calibri"/>
          <w:color w:val="000000"/>
        </w:rPr>
        <w:t xml:space="preserve">a </w:t>
      </w:r>
      <w:r w:rsidR="009050BB">
        <w:rPr>
          <w:rFonts w:ascii="Calibri" w:hAnsi="Calibri"/>
          <w:color w:val="000000"/>
        </w:rPr>
        <w:t>very few instances, we f</w:t>
      </w:r>
      <w:r>
        <w:rPr>
          <w:rFonts w:ascii="Calibri" w:hAnsi="Calibri"/>
          <w:color w:val="000000"/>
        </w:rPr>
        <w:t>ou</w:t>
      </w:r>
      <w:r w:rsidR="009050BB">
        <w:rPr>
          <w:rFonts w:ascii="Calibri" w:hAnsi="Calibri"/>
          <w:color w:val="000000"/>
        </w:rPr>
        <w:t xml:space="preserve">nd </w:t>
      </w:r>
      <w:r w:rsidR="000153BC">
        <w:rPr>
          <w:rFonts w:ascii="Calibri" w:hAnsi="Calibri"/>
          <w:color w:val="000000"/>
        </w:rPr>
        <w:t xml:space="preserve">very </w:t>
      </w:r>
      <w:r w:rsidR="009050BB">
        <w:rPr>
          <w:rFonts w:ascii="Calibri" w:hAnsi="Calibri"/>
          <w:color w:val="000000"/>
        </w:rPr>
        <w:t>strong</w:t>
      </w:r>
      <w:r w:rsidR="000153BC">
        <w:rPr>
          <w:rFonts w:ascii="Calibri" w:hAnsi="Calibri"/>
          <w:color w:val="000000"/>
        </w:rPr>
        <w:t xml:space="preserve"> (above 80</w:t>
      </w:r>
      <w:r>
        <w:rPr>
          <w:rFonts w:ascii="Calibri" w:hAnsi="Calibri"/>
          <w:color w:val="000000"/>
        </w:rPr>
        <w:t>%</w:t>
      </w:r>
      <w:r w:rsidR="000153BC">
        <w:rPr>
          <w:rFonts w:ascii="Calibri" w:hAnsi="Calibri"/>
          <w:color w:val="000000"/>
        </w:rPr>
        <w:t>)</w:t>
      </w:r>
      <w:r w:rsidR="009050BB">
        <w:rPr>
          <w:rFonts w:ascii="Calibri" w:hAnsi="Calibri"/>
          <w:color w:val="000000"/>
        </w:rPr>
        <w:t xml:space="preserve"> associations between these variables.  These results hold</w:t>
      </w:r>
      <w:r>
        <w:rPr>
          <w:rFonts w:ascii="Calibri" w:hAnsi="Calibri"/>
          <w:color w:val="000000"/>
        </w:rPr>
        <w:t>,</w:t>
      </w:r>
      <w:r w:rsidR="009050BB">
        <w:rPr>
          <w:rFonts w:ascii="Calibri" w:hAnsi="Calibri"/>
          <w:color w:val="000000"/>
        </w:rPr>
        <w:t xml:space="preserve"> irrespective of </w:t>
      </w:r>
      <w:r w:rsidR="006F64AD">
        <w:rPr>
          <w:rFonts w:ascii="Calibri" w:hAnsi="Calibri"/>
          <w:color w:val="000000"/>
        </w:rPr>
        <w:t xml:space="preserve">whether we assume that stock market participants form </w:t>
      </w:r>
      <w:r w:rsidR="009050BB">
        <w:rPr>
          <w:rFonts w:ascii="Calibri" w:hAnsi="Calibri"/>
          <w:color w:val="000000"/>
        </w:rPr>
        <w:t xml:space="preserve">adaptive </w:t>
      </w:r>
      <w:r w:rsidR="00B77B97">
        <w:rPr>
          <w:rFonts w:ascii="Calibri" w:hAnsi="Calibri"/>
          <w:color w:val="000000"/>
        </w:rPr>
        <w:t xml:space="preserve">or rational </w:t>
      </w:r>
      <w:r w:rsidR="009050BB">
        <w:rPr>
          <w:rFonts w:ascii="Calibri" w:hAnsi="Calibri"/>
          <w:color w:val="000000"/>
        </w:rPr>
        <w:t>e</w:t>
      </w:r>
      <w:r w:rsidR="00B77B97">
        <w:rPr>
          <w:rFonts w:ascii="Calibri" w:hAnsi="Calibri"/>
          <w:color w:val="000000"/>
        </w:rPr>
        <w:t>xpectations about the</w:t>
      </w:r>
      <w:r w:rsidR="006F64AD">
        <w:rPr>
          <w:rFonts w:ascii="Calibri" w:hAnsi="Calibri"/>
          <w:color w:val="000000"/>
        </w:rPr>
        <w:t xml:space="preserve"> price of oil.</w:t>
      </w:r>
      <w:r w:rsidR="000153BC">
        <w:rPr>
          <w:rFonts w:ascii="Calibri" w:hAnsi="Calibri"/>
          <w:color w:val="000000"/>
        </w:rPr>
        <w:t xml:space="preserve"> Dynamic factor results confirm that shocks to volatility are more important than shocks to oil price returns</w:t>
      </w:r>
      <w:r w:rsidR="00CE4FCF">
        <w:rPr>
          <w:rFonts w:ascii="Calibri" w:hAnsi="Calibri"/>
          <w:color w:val="000000"/>
        </w:rPr>
        <w:t xml:space="preserve"> for the GCC stock markets.</w:t>
      </w:r>
    </w:p>
    <w:p w:rsidR="00347F7C" w:rsidRDefault="00347F7C" w:rsidP="00D7474F">
      <w:pPr>
        <w:rPr>
          <w:rFonts w:ascii="Calibri" w:hAnsi="Calibri"/>
          <w:color w:val="000000"/>
        </w:rPr>
      </w:pPr>
    </w:p>
    <w:p w:rsidR="00347F7C" w:rsidRDefault="00347F7C" w:rsidP="00D7474F">
      <w:pPr>
        <w:rPr>
          <w:rFonts w:ascii="Calibri" w:hAnsi="Calibri"/>
          <w:color w:val="000000"/>
        </w:rPr>
      </w:pPr>
    </w:p>
    <w:p w:rsidR="00347F7C" w:rsidRDefault="006F64AD" w:rsidP="00D7474F">
      <w:pPr>
        <w:rPr>
          <w:rFonts w:ascii="Calibri" w:hAnsi="Calibri"/>
          <w:color w:val="000000"/>
        </w:rPr>
      </w:pPr>
      <w:r>
        <w:rPr>
          <w:rFonts w:ascii="Calibri" w:hAnsi="Calibri"/>
          <w:color w:val="000000"/>
        </w:rPr>
        <w:t xml:space="preserve">Keywords: Oil price, GCC </w:t>
      </w:r>
      <w:r w:rsidR="00674202">
        <w:rPr>
          <w:rFonts w:ascii="Calibri" w:hAnsi="Calibri"/>
          <w:color w:val="000000"/>
        </w:rPr>
        <w:t>stock</w:t>
      </w:r>
      <w:r>
        <w:rPr>
          <w:rFonts w:ascii="Calibri" w:hAnsi="Calibri"/>
          <w:color w:val="000000"/>
        </w:rPr>
        <w:t xml:space="preserve"> markets, and synchronicity measures.</w:t>
      </w:r>
    </w:p>
    <w:p w:rsidR="006F64AD" w:rsidRDefault="006F64AD" w:rsidP="005E6E47">
      <w:pPr>
        <w:outlineLvl w:val="0"/>
        <w:rPr>
          <w:rFonts w:ascii="Calibri" w:hAnsi="Calibri"/>
          <w:color w:val="000000"/>
        </w:rPr>
      </w:pPr>
      <w:r>
        <w:rPr>
          <w:rFonts w:ascii="Calibri" w:hAnsi="Calibri"/>
          <w:color w:val="000000"/>
        </w:rPr>
        <w:t xml:space="preserve">JEL CODES: </w:t>
      </w:r>
    </w:p>
    <w:p w:rsidR="00347F7C" w:rsidRDefault="00347F7C" w:rsidP="00D7474F">
      <w:pPr>
        <w:rPr>
          <w:rFonts w:ascii="Calibri" w:hAnsi="Calibri"/>
          <w:color w:val="000000"/>
        </w:rPr>
      </w:pPr>
      <w:r>
        <w:rPr>
          <w:rFonts w:ascii="Calibri" w:hAnsi="Calibri"/>
          <w:color w:val="000000"/>
        </w:rPr>
        <w:t>___________________________</w:t>
      </w:r>
    </w:p>
    <w:p w:rsidR="004F365C" w:rsidRPr="006B2471" w:rsidRDefault="004F365C">
      <w:pPr>
        <w:rPr>
          <w:rFonts w:ascii="Calibri" w:hAnsi="Calibri"/>
          <w:color w:val="000000"/>
          <w:sz w:val="16"/>
          <w:szCs w:val="16"/>
        </w:rPr>
      </w:pPr>
      <w:r w:rsidRPr="006B2471">
        <w:rPr>
          <w:rFonts w:ascii="Calibri" w:hAnsi="Calibri"/>
          <w:color w:val="000000"/>
          <w:sz w:val="16"/>
          <w:szCs w:val="16"/>
          <w:vertAlign w:val="superscript"/>
        </w:rPr>
        <w:t>a</w:t>
      </w:r>
      <w:r w:rsidR="00347F7C" w:rsidRPr="006B2471">
        <w:rPr>
          <w:rFonts w:ascii="Calibri" w:hAnsi="Calibri"/>
          <w:color w:val="000000"/>
          <w:sz w:val="16"/>
          <w:szCs w:val="16"/>
          <w:vertAlign w:val="superscript"/>
        </w:rPr>
        <w:t xml:space="preserve"> </w:t>
      </w:r>
      <w:r w:rsidR="0029393C" w:rsidRPr="006B2471">
        <w:rPr>
          <w:rFonts w:ascii="Calibri" w:hAnsi="Calibri"/>
          <w:color w:val="000000"/>
          <w:sz w:val="16"/>
          <w:szCs w:val="16"/>
        </w:rPr>
        <w:t>Corresponding author,</w:t>
      </w:r>
      <w:r w:rsidR="00221CDE">
        <w:rPr>
          <w:rFonts w:ascii="Calibri" w:hAnsi="Calibri"/>
          <w:color w:val="000000"/>
          <w:sz w:val="16"/>
          <w:szCs w:val="16"/>
        </w:rPr>
        <w:t xml:space="preserve"> </w:t>
      </w:r>
      <w:r w:rsidRPr="006B2471">
        <w:rPr>
          <w:rFonts w:ascii="Calibri" w:hAnsi="Calibri"/>
          <w:color w:val="000000"/>
          <w:sz w:val="16"/>
          <w:szCs w:val="16"/>
        </w:rPr>
        <w:t>Department of Economics and Finance, Faculty of Management, Vancouver Island University, 900 FIFTH Street, Nanaimo, BC, Canada V9R 5S5, email: Rosmy.JeanLouis@viu.ca, phone: 1-250-753-3245 ext. 2233.</w:t>
      </w:r>
    </w:p>
    <w:p w:rsidR="0029393C" w:rsidRPr="006B2471" w:rsidRDefault="0029393C">
      <w:pPr>
        <w:rPr>
          <w:sz w:val="16"/>
          <w:szCs w:val="16"/>
        </w:rPr>
      </w:pPr>
      <w:r w:rsidRPr="006B2471">
        <w:rPr>
          <w:sz w:val="16"/>
          <w:szCs w:val="16"/>
          <w:vertAlign w:val="superscript"/>
        </w:rPr>
        <w:t>b</w:t>
      </w:r>
      <w:r w:rsidRPr="006B2471">
        <w:rPr>
          <w:sz w:val="16"/>
          <w:szCs w:val="16"/>
        </w:rPr>
        <w:t xml:space="preserve"> School of Economics and Finance, Massey University, Private Bag 11-222, Palmerston North, New Zealand.</w:t>
      </w:r>
    </w:p>
    <w:p w:rsidR="006F64AD" w:rsidRPr="00C95ED6" w:rsidRDefault="00B93993">
      <w:pPr>
        <w:rPr>
          <w:sz w:val="16"/>
          <w:szCs w:val="16"/>
        </w:rPr>
      </w:pPr>
      <w:r w:rsidRPr="00B93993">
        <w:rPr>
          <w:sz w:val="16"/>
          <w:szCs w:val="16"/>
        </w:rPr>
        <w:t>We think Eninim Ekon of the MBA/ MScIB program at VIU for excellent research assistance.</w:t>
      </w:r>
    </w:p>
    <w:p w:rsidR="006F64AD" w:rsidRDefault="006F64AD"/>
    <w:p w:rsidR="006F64AD" w:rsidRPr="00936BF6" w:rsidRDefault="00FC718C" w:rsidP="005E6E47">
      <w:pPr>
        <w:outlineLvl w:val="0"/>
        <w:rPr>
          <w:b/>
        </w:rPr>
      </w:pPr>
      <w:r w:rsidRPr="00936BF6">
        <w:rPr>
          <w:b/>
        </w:rPr>
        <w:lastRenderedPageBreak/>
        <w:t>Introduction</w:t>
      </w:r>
    </w:p>
    <w:p w:rsidR="00CB03F1" w:rsidRDefault="006F64AD" w:rsidP="006F64AD">
      <w:pPr>
        <w:rPr>
          <w:rFonts w:ascii="Calibri" w:hAnsi="Calibri"/>
          <w:color w:val="000000"/>
        </w:rPr>
      </w:pPr>
      <w:r>
        <w:rPr>
          <w:rFonts w:ascii="Calibri" w:hAnsi="Calibri"/>
          <w:color w:val="000000"/>
        </w:rPr>
        <w:t xml:space="preserve">It is well known that crude oil is the </w:t>
      </w:r>
      <w:r w:rsidR="006B2471">
        <w:rPr>
          <w:rFonts w:ascii="Calibri" w:hAnsi="Calibri"/>
          <w:color w:val="000000"/>
        </w:rPr>
        <w:t xml:space="preserve">backbone of the </w:t>
      </w:r>
      <w:r w:rsidR="00221CDE">
        <w:rPr>
          <w:rFonts w:ascii="Calibri" w:hAnsi="Calibri"/>
          <w:color w:val="000000"/>
        </w:rPr>
        <w:t>Gulf Cooperation Council (</w:t>
      </w:r>
      <w:r w:rsidR="006B2471">
        <w:rPr>
          <w:rFonts w:ascii="Calibri" w:hAnsi="Calibri"/>
          <w:color w:val="000000"/>
        </w:rPr>
        <w:t>GCC</w:t>
      </w:r>
      <w:r w:rsidR="00221CDE">
        <w:rPr>
          <w:rFonts w:ascii="Calibri" w:hAnsi="Calibri"/>
          <w:color w:val="000000"/>
        </w:rPr>
        <w:t>)</w:t>
      </w:r>
      <w:r w:rsidR="006B2471">
        <w:rPr>
          <w:rFonts w:ascii="Calibri" w:hAnsi="Calibri"/>
          <w:color w:val="000000"/>
        </w:rPr>
        <w:t xml:space="preserve"> economies. A</w:t>
      </w:r>
      <w:r>
        <w:rPr>
          <w:rFonts w:ascii="Calibri" w:hAnsi="Calibri"/>
          <w:color w:val="000000"/>
        </w:rPr>
        <w:t xml:space="preserve"> change in the price of oil</w:t>
      </w:r>
      <w:r w:rsidR="006B2471">
        <w:rPr>
          <w:rFonts w:ascii="Calibri" w:hAnsi="Calibri"/>
          <w:color w:val="000000"/>
        </w:rPr>
        <w:t>, however, may produce quite</w:t>
      </w:r>
      <w:r>
        <w:rPr>
          <w:rFonts w:ascii="Calibri" w:hAnsi="Calibri"/>
          <w:color w:val="000000"/>
        </w:rPr>
        <w:t xml:space="preserve"> ambiguous effect</w:t>
      </w:r>
      <w:r w:rsidR="006B2471">
        <w:rPr>
          <w:rFonts w:ascii="Calibri" w:hAnsi="Calibri"/>
          <w:color w:val="000000"/>
        </w:rPr>
        <w:t>s</w:t>
      </w:r>
      <w:r>
        <w:rPr>
          <w:rFonts w:ascii="Calibri" w:hAnsi="Calibri"/>
          <w:color w:val="000000"/>
        </w:rPr>
        <w:t xml:space="preserve"> on these economies.  As </w:t>
      </w:r>
      <w:r w:rsidR="00221CDE">
        <w:rPr>
          <w:rFonts w:ascii="Calibri" w:hAnsi="Calibri"/>
          <w:color w:val="000000"/>
        </w:rPr>
        <w:t xml:space="preserve">oil is </w:t>
      </w:r>
      <w:r>
        <w:rPr>
          <w:rFonts w:ascii="Calibri" w:hAnsi="Calibri"/>
          <w:color w:val="000000"/>
        </w:rPr>
        <w:t>a main source of energy, a</w:t>
      </w:r>
      <w:r w:rsidR="00C95ED6">
        <w:rPr>
          <w:rFonts w:ascii="Calibri" w:hAnsi="Calibri"/>
          <w:color w:val="000000"/>
        </w:rPr>
        <w:t xml:space="preserve"> ri</w:t>
      </w:r>
      <w:r>
        <w:rPr>
          <w:rFonts w:ascii="Calibri" w:hAnsi="Calibri"/>
          <w:color w:val="000000"/>
        </w:rPr>
        <w:t xml:space="preserve">se in </w:t>
      </w:r>
      <w:r w:rsidR="00C95ED6">
        <w:rPr>
          <w:rFonts w:ascii="Calibri" w:hAnsi="Calibri"/>
          <w:color w:val="000000"/>
        </w:rPr>
        <w:t xml:space="preserve">its </w:t>
      </w:r>
      <w:r w:rsidR="00C4062C">
        <w:rPr>
          <w:rFonts w:ascii="Calibri" w:hAnsi="Calibri"/>
          <w:color w:val="000000"/>
        </w:rPr>
        <w:t>market price</w:t>
      </w:r>
      <w:r w:rsidR="00B24466">
        <w:rPr>
          <w:rFonts w:ascii="Calibri" w:hAnsi="Calibri"/>
          <w:color w:val="000000"/>
        </w:rPr>
        <w:t xml:space="preserve"> boost</w:t>
      </w:r>
      <w:r w:rsidR="004F75FB">
        <w:rPr>
          <w:rFonts w:ascii="Calibri" w:hAnsi="Calibri"/>
          <w:color w:val="000000"/>
        </w:rPr>
        <w:t>s</w:t>
      </w:r>
      <w:r>
        <w:rPr>
          <w:rFonts w:ascii="Calibri" w:hAnsi="Calibri"/>
          <w:color w:val="000000"/>
        </w:rPr>
        <w:t xml:space="preserve"> profits for oi</w:t>
      </w:r>
      <w:r w:rsidR="00607389">
        <w:rPr>
          <w:rFonts w:ascii="Calibri" w:hAnsi="Calibri"/>
          <w:color w:val="000000"/>
        </w:rPr>
        <w:t>l companies while</w:t>
      </w:r>
      <w:r w:rsidR="004F75FB">
        <w:rPr>
          <w:rFonts w:ascii="Calibri" w:hAnsi="Calibri"/>
          <w:color w:val="000000"/>
        </w:rPr>
        <w:t xml:space="preserve"> increase</w:t>
      </w:r>
      <w:r w:rsidR="00C95ED6">
        <w:rPr>
          <w:rFonts w:ascii="Calibri" w:hAnsi="Calibri"/>
          <w:color w:val="000000"/>
        </w:rPr>
        <w:t>s</w:t>
      </w:r>
      <w:r w:rsidR="004F75FB">
        <w:rPr>
          <w:rFonts w:ascii="Calibri" w:hAnsi="Calibri"/>
          <w:color w:val="000000"/>
        </w:rPr>
        <w:t xml:space="preserve"> costs for</w:t>
      </w:r>
      <w:r>
        <w:rPr>
          <w:rFonts w:ascii="Calibri" w:hAnsi="Calibri"/>
          <w:color w:val="000000"/>
        </w:rPr>
        <w:t xml:space="preserve"> </w:t>
      </w:r>
      <w:r w:rsidR="00B24466">
        <w:rPr>
          <w:rFonts w:ascii="Calibri" w:hAnsi="Calibri"/>
          <w:color w:val="000000"/>
        </w:rPr>
        <w:t xml:space="preserve">goods-producing </w:t>
      </w:r>
      <w:r>
        <w:rPr>
          <w:rFonts w:ascii="Calibri" w:hAnsi="Calibri"/>
          <w:color w:val="000000"/>
        </w:rPr>
        <w:t>compan</w:t>
      </w:r>
      <w:r w:rsidR="00FC718C">
        <w:rPr>
          <w:rFonts w:ascii="Calibri" w:hAnsi="Calibri"/>
          <w:color w:val="000000"/>
        </w:rPr>
        <w:t>ies</w:t>
      </w:r>
      <w:r w:rsidR="006B2471">
        <w:rPr>
          <w:rFonts w:ascii="Calibri" w:hAnsi="Calibri"/>
          <w:color w:val="000000"/>
        </w:rPr>
        <w:t>,</w:t>
      </w:r>
      <w:r w:rsidR="00FC718C">
        <w:rPr>
          <w:rFonts w:ascii="Calibri" w:hAnsi="Calibri"/>
          <w:color w:val="000000"/>
        </w:rPr>
        <w:t xml:space="preserve"> </w:t>
      </w:r>
      <w:r w:rsidR="004F75FB">
        <w:rPr>
          <w:rFonts w:ascii="Calibri" w:hAnsi="Calibri"/>
          <w:color w:val="000000"/>
        </w:rPr>
        <w:t>if other cost-</w:t>
      </w:r>
      <w:r>
        <w:rPr>
          <w:rFonts w:ascii="Calibri" w:hAnsi="Calibri"/>
          <w:color w:val="000000"/>
        </w:rPr>
        <w:t>cutting measures are not implemente</w:t>
      </w:r>
      <w:r w:rsidR="00D34555">
        <w:rPr>
          <w:rFonts w:ascii="Calibri" w:hAnsi="Calibri"/>
          <w:color w:val="000000"/>
        </w:rPr>
        <w:t>d.  S</w:t>
      </w:r>
      <w:r w:rsidR="00FC718C">
        <w:rPr>
          <w:rFonts w:ascii="Calibri" w:hAnsi="Calibri"/>
          <w:color w:val="000000"/>
        </w:rPr>
        <w:t xml:space="preserve">ince </w:t>
      </w:r>
      <w:r w:rsidR="00D34555">
        <w:rPr>
          <w:rFonts w:ascii="Calibri" w:hAnsi="Calibri"/>
          <w:color w:val="000000"/>
        </w:rPr>
        <w:t>most of</w:t>
      </w:r>
      <w:r w:rsidR="00FC718C">
        <w:rPr>
          <w:rFonts w:ascii="Calibri" w:hAnsi="Calibri"/>
          <w:color w:val="000000"/>
        </w:rPr>
        <w:t xml:space="preserve"> the GCC oil companies are government </w:t>
      </w:r>
      <w:r w:rsidR="00D34555">
        <w:rPr>
          <w:rFonts w:ascii="Calibri" w:hAnsi="Calibri"/>
          <w:color w:val="000000"/>
        </w:rPr>
        <w:t>owned,</w:t>
      </w:r>
      <w:r w:rsidR="00FC718C">
        <w:rPr>
          <w:rFonts w:ascii="Calibri" w:hAnsi="Calibri"/>
          <w:color w:val="000000"/>
        </w:rPr>
        <w:t xml:space="preserve"> the resulting boost in </w:t>
      </w:r>
      <w:r w:rsidR="00D34555">
        <w:rPr>
          <w:rFonts w:ascii="Calibri" w:hAnsi="Calibri"/>
          <w:color w:val="000000"/>
        </w:rPr>
        <w:t xml:space="preserve">oil </w:t>
      </w:r>
      <w:r w:rsidR="00FC718C">
        <w:rPr>
          <w:rFonts w:ascii="Calibri" w:hAnsi="Calibri"/>
          <w:color w:val="000000"/>
        </w:rPr>
        <w:t xml:space="preserve">export revenues serves as a </w:t>
      </w:r>
      <w:r w:rsidR="00221CDE">
        <w:rPr>
          <w:rFonts w:ascii="Calibri" w:hAnsi="Calibri"/>
          <w:color w:val="000000"/>
        </w:rPr>
        <w:t>means of</w:t>
      </w:r>
      <w:r w:rsidR="00FC718C">
        <w:rPr>
          <w:rFonts w:ascii="Calibri" w:hAnsi="Calibri"/>
          <w:color w:val="000000"/>
        </w:rPr>
        <w:t xml:space="preserve"> foster</w:t>
      </w:r>
      <w:r w:rsidR="00221CDE">
        <w:rPr>
          <w:rFonts w:ascii="Calibri" w:hAnsi="Calibri"/>
          <w:color w:val="000000"/>
        </w:rPr>
        <w:t>ing</w:t>
      </w:r>
      <w:r w:rsidR="00D34555">
        <w:rPr>
          <w:rFonts w:ascii="Calibri" w:hAnsi="Calibri"/>
          <w:color w:val="000000"/>
        </w:rPr>
        <w:t xml:space="preserve"> investment in education, infrastructure,</w:t>
      </w:r>
      <w:r w:rsidR="001D7657">
        <w:rPr>
          <w:rFonts w:ascii="Calibri" w:hAnsi="Calibri"/>
          <w:color w:val="000000"/>
        </w:rPr>
        <w:t xml:space="preserve"> education and tourism, among</w:t>
      </w:r>
      <w:r w:rsidR="00D34555">
        <w:rPr>
          <w:rFonts w:ascii="Calibri" w:hAnsi="Calibri"/>
          <w:color w:val="000000"/>
        </w:rPr>
        <w:t xml:space="preserve"> other sectors. </w:t>
      </w:r>
      <w:r w:rsidR="00FC718C">
        <w:rPr>
          <w:rFonts w:ascii="Calibri" w:hAnsi="Calibri"/>
          <w:color w:val="000000"/>
        </w:rPr>
        <w:t xml:space="preserve">  </w:t>
      </w:r>
      <w:r w:rsidR="00221CDE">
        <w:rPr>
          <w:rFonts w:ascii="Calibri" w:hAnsi="Calibri"/>
          <w:color w:val="000000"/>
        </w:rPr>
        <w:t xml:space="preserve">An </w:t>
      </w:r>
      <w:r w:rsidR="00D34555">
        <w:rPr>
          <w:rFonts w:ascii="Calibri" w:hAnsi="Calibri"/>
          <w:color w:val="000000"/>
        </w:rPr>
        <w:t xml:space="preserve">increase in the price of oil also </w:t>
      </w:r>
      <w:r w:rsidR="00221CDE">
        <w:rPr>
          <w:rFonts w:ascii="Calibri" w:hAnsi="Calibri"/>
          <w:color w:val="000000"/>
        </w:rPr>
        <w:t xml:space="preserve">brings </w:t>
      </w:r>
      <w:r w:rsidR="00D34555">
        <w:rPr>
          <w:rFonts w:ascii="Calibri" w:hAnsi="Calibri"/>
          <w:color w:val="000000"/>
        </w:rPr>
        <w:t>the</w:t>
      </w:r>
      <w:r w:rsidR="00E71F2D">
        <w:rPr>
          <w:rFonts w:ascii="Calibri" w:hAnsi="Calibri"/>
          <w:color w:val="000000"/>
        </w:rPr>
        <w:t xml:space="preserve"> misfortune of raising the cost of imported capital goods,</w:t>
      </w:r>
      <w:r w:rsidR="00C4062C">
        <w:rPr>
          <w:rFonts w:ascii="Calibri" w:hAnsi="Calibri"/>
          <w:color w:val="000000"/>
        </w:rPr>
        <w:t xml:space="preserve"> and </w:t>
      </w:r>
      <w:r w:rsidR="00E71F2D">
        <w:rPr>
          <w:rFonts w:ascii="Calibri" w:hAnsi="Calibri"/>
          <w:color w:val="000000"/>
        </w:rPr>
        <w:t>therefore hamper</w:t>
      </w:r>
      <w:r w:rsidR="00C4062C">
        <w:rPr>
          <w:rFonts w:ascii="Calibri" w:hAnsi="Calibri"/>
          <w:color w:val="000000"/>
        </w:rPr>
        <w:t>s</w:t>
      </w:r>
      <w:r w:rsidR="00E71F2D">
        <w:rPr>
          <w:rFonts w:ascii="Calibri" w:hAnsi="Calibri"/>
          <w:color w:val="000000"/>
        </w:rPr>
        <w:t xml:space="preserve"> growth in the GCC markets. This line of reasoning is akin to the macro view that oil prices can influence the real sector </w:t>
      </w:r>
      <w:r w:rsidR="00B24466">
        <w:rPr>
          <w:rFonts w:ascii="Calibri" w:hAnsi="Calibri"/>
          <w:color w:val="000000"/>
        </w:rPr>
        <w:t xml:space="preserve">of the economy </w:t>
      </w:r>
      <w:r w:rsidR="00C41702">
        <w:rPr>
          <w:rFonts w:ascii="Calibri" w:hAnsi="Calibri"/>
          <w:color w:val="000000"/>
        </w:rPr>
        <w:t xml:space="preserve">mainly </w:t>
      </w:r>
      <w:r w:rsidR="00B24466">
        <w:rPr>
          <w:rFonts w:ascii="Calibri" w:hAnsi="Calibri"/>
          <w:color w:val="000000"/>
        </w:rPr>
        <w:t>via its effects</w:t>
      </w:r>
      <w:r w:rsidR="00E71F2D">
        <w:rPr>
          <w:rFonts w:ascii="Calibri" w:hAnsi="Calibri"/>
          <w:color w:val="000000"/>
        </w:rPr>
        <w:t xml:space="preserve"> on </w:t>
      </w:r>
      <w:r w:rsidR="00B52776">
        <w:rPr>
          <w:rFonts w:ascii="Calibri" w:hAnsi="Calibri"/>
          <w:color w:val="000000"/>
        </w:rPr>
        <w:t>consumption as firms shift a portion of their costs to consumers,</w:t>
      </w:r>
      <w:r w:rsidR="00E71F2D">
        <w:rPr>
          <w:rFonts w:ascii="Calibri" w:hAnsi="Calibri"/>
          <w:color w:val="000000"/>
        </w:rPr>
        <w:t xml:space="preserve"> product</w:t>
      </w:r>
      <w:r w:rsidR="00B24466">
        <w:rPr>
          <w:rFonts w:ascii="Calibri" w:hAnsi="Calibri"/>
          <w:color w:val="000000"/>
        </w:rPr>
        <w:t>ion</w:t>
      </w:r>
      <w:r w:rsidR="00C95ED6">
        <w:rPr>
          <w:rFonts w:ascii="Calibri" w:hAnsi="Calibri"/>
          <w:color w:val="000000"/>
        </w:rPr>
        <w:t>,</w:t>
      </w:r>
      <w:r w:rsidR="00B24466">
        <w:rPr>
          <w:rFonts w:ascii="Calibri" w:hAnsi="Calibri"/>
          <w:color w:val="000000"/>
        </w:rPr>
        <w:t xml:space="preserve"> and government budgets (</w:t>
      </w:r>
      <w:r w:rsidR="00321BA3">
        <w:rPr>
          <w:rFonts w:ascii="Calibri" w:hAnsi="Calibri"/>
          <w:color w:val="000000"/>
        </w:rPr>
        <w:t xml:space="preserve">see, </w:t>
      </w:r>
      <w:r w:rsidR="00221CDE">
        <w:rPr>
          <w:rFonts w:ascii="Calibri" w:hAnsi="Calibri"/>
          <w:color w:val="000000"/>
        </w:rPr>
        <w:t>for example,</w:t>
      </w:r>
      <w:r w:rsidR="00321BA3">
        <w:rPr>
          <w:rFonts w:ascii="Calibri" w:hAnsi="Calibri"/>
          <w:color w:val="000000"/>
        </w:rPr>
        <w:t xml:space="preserve"> </w:t>
      </w:r>
      <w:r w:rsidR="00B24466">
        <w:rPr>
          <w:rFonts w:ascii="Calibri" w:hAnsi="Calibri"/>
          <w:color w:val="000000"/>
        </w:rPr>
        <w:t>Basher</w:t>
      </w:r>
      <w:r w:rsidR="00221CDE">
        <w:rPr>
          <w:rFonts w:ascii="Calibri" w:hAnsi="Calibri"/>
          <w:color w:val="000000"/>
        </w:rPr>
        <w:t>,</w:t>
      </w:r>
      <w:r w:rsidR="00B24466">
        <w:rPr>
          <w:rFonts w:ascii="Calibri" w:hAnsi="Calibri"/>
          <w:color w:val="000000"/>
        </w:rPr>
        <w:t xml:space="preserve"> 2010</w:t>
      </w:r>
      <w:r w:rsidR="00221CDE">
        <w:rPr>
          <w:rFonts w:ascii="Calibri" w:hAnsi="Calibri"/>
          <w:color w:val="000000"/>
        </w:rPr>
        <w:t>;</w:t>
      </w:r>
      <w:r w:rsidR="00B24466">
        <w:rPr>
          <w:rFonts w:ascii="Calibri" w:hAnsi="Calibri"/>
          <w:color w:val="000000"/>
        </w:rPr>
        <w:t xml:space="preserve"> Ravichandran and Alkhathlan</w:t>
      </w:r>
      <w:r w:rsidR="00221CDE">
        <w:rPr>
          <w:rFonts w:ascii="Calibri" w:hAnsi="Calibri"/>
          <w:color w:val="000000"/>
        </w:rPr>
        <w:t>,</w:t>
      </w:r>
      <w:r w:rsidR="00B24466">
        <w:rPr>
          <w:rFonts w:ascii="Calibri" w:hAnsi="Calibri"/>
          <w:color w:val="000000"/>
        </w:rPr>
        <w:t xml:space="preserve"> 2010</w:t>
      </w:r>
      <w:r w:rsidR="00221CDE">
        <w:rPr>
          <w:rFonts w:ascii="Calibri" w:hAnsi="Calibri"/>
          <w:color w:val="000000"/>
        </w:rPr>
        <w:t>;</w:t>
      </w:r>
      <w:r w:rsidR="00B24466">
        <w:rPr>
          <w:rFonts w:ascii="Calibri" w:hAnsi="Calibri"/>
          <w:color w:val="000000"/>
        </w:rPr>
        <w:t xml:space="preserve"> Basher and Sadorsky</w:t>
      </w:r>
      <w:r w:rsidR="00221CDE">
        <w:rPr>
          <w:rFonts w:ascii="Calibri" w:hAnsi="Calibri"/>
          <w:color w:val="000000"/>
        </w:rPr>
        <w:t>,</w:t>
      </w:r>
      <w:r w:rsidR="00B24466">
        <w:rPr>
          <w:rFonts w:ascii="Calibri" w:hAnsi="Calibri"/>
          <w:color w:val="000000"/>
        </w:rPr>
        <w:t xml:space="preserve"> 2006).</w:t>
      </w:r>
      <w:r w:rsidR="000D57AA">
        <w:rPr>
          <w:rFonts w:ascii="Calibri" w:hAnsi="Calibri"/>
          <w:color w:val="000000"/>
        </w:rPr>
        <w:t xml:space="preserve"> </w:t>
      </w:r>
      <w:r w:rsidR="005B5F74">
        <w:rPr>
          <w:rFonts w:ascii="Calibri" w:hAnsi="Calibri"/>
          <w:color w:val="000000"/>
        </w:rPr>
        <w:t xml:space="preserve">Research </w:t>
      </w:r>
      <w:r w:rsidR="00221CDE">
        <w:rPr>
          <w:rFonts w:ascii="Calibri" w:hAnsi="Calibri"/>
          <w:color w:val="000000"/>
        </w:rPr>
        <w:t xml:space="preserve">in </w:t>
      </w:r>
      <w:r w:rsidR="005B5F74">
        <w:rPr>
          <w:rFonts w:ascii="Calibri" w:hAnsi="Calibri"/>
          <w:color w:val="000000"/>
        </w:rPr>
        <w:t>this strand of the literature has</w:t>
      </w:r>
      <w:r w:rsidR="000D57AA">
        <w:rPr>
          <w:rFonts w:ascii="Calibri" w:hAnsi="Calibri"/>
          <w:color w:val="000000"/>
        </w:rPr>
        <w:t xml:space="preserve"> link</w:t>
      </w:r>
      <w:r w:rsidR="007218A3">
        <w:rPr>
          <w:rFonts w:ascii="Calibri" w:hAnsi="Calibri"/>
          <w:color w:val="000000"/>
        </w:rPr>
        <w:t xml:space="preserve">ed fluctuations in </w:t>
      </w:r>
      <w:r w:rsidR="000D57AA">
        <w:rPr>
          <w:rFonts w:ascii="Calibri" w:hAnsi="Calibri"/>
          <w:color w:val="000000"/>
        </w:rPr>
        <w:t>key m</w:t>
      </w:r>
      <w:r w:rsidR="007218A3">
        <w:rPr>
          <w:rFonts w:ascii="Calibri" w:hAnsi="Calibri"/>
          <w:color w:val="000000"/>
        </w:rPr>
        <w:t>acroeconomic indicators to stock market performance.</w:t>
      </w:r>
      <w:r w:rsidR="000D57AA">
        <w:rPr>
          <w:rFonts w:ascii="Calibri" w:hAnsi="Calibri"/>
          <w:color w:val="000000"/>
        </w:rPr>
        <w:t xml:space="preserve"> </w:t>
      </w:r>
      <w:r w:rsidR="00B24466">
        <w:rPr>
          <w:rFonts w:ascii="Calibri" w:hAnsi="Calibri"/>
          <w:color w:val="000000"/>
        </w:rPr>
        <w:t xml:space="preserve"> </w:t>
      </w:r>
      <w:r w:rsidR="007218A3">
        <w:rPr>
          <w:rFonts w:ascii="Calibri" w:hAnsi="Calibri"/>
          <w:color w:val="000000"/>
        </w:rPr>
        <w:t xml:space="preserve">These </w:t>
      </w:r>
      <w:r w:rsidR="00221CDE">
        <w:rPr>
          <w:rFonts w:ascii="Calibri" w:hAnsi="Calibri"/>
          <w:color w:val="000000"/>
        </w:rPr>
        <w:t xml:space="preserve">include </w:t>
      </w:r>
      <w:r w:rsidR="007218A3">
        <w:rPr>
          <w:rFonts w:ascii="Calibri" w:hAnsi="Calibri"/>
          <w:color w:val="000000"/>
        </w:rPr>
        <w:t>the work of Chen</w:t>
      </w:r>
      <w:r w:rsidR="00221CDE">
        <w:rPr>
          <w:rFonts w:ascii="Calibri" w:hAnsi="Calibri"/>
          <w:color w:val="000000"/>
        </w:rPr>
        <w:t xml:space="preserve"> </w:t>
      </w:r>
      <w:r w:rsidR="00E1141E" w:rsidRPr="00E1141E">
        <w:rPr>
          <w:rFonts w:ascii="Calibri" w:hAnsi="Calibri"/>
          <w:i/>
          <w:color w:val="000000"/>
        </w:rPr>
        <w:t>et al.</w:t>
      </w:r>
      <w:r w:rsidR="00221CDE">
        <w:rPr>
          <w:rFonts w:ascii="Calibri" w:hAnsi="Calibri"/>
          <w:color w:val="000000"/>
        </w:rPr>
        <w:t xml:space="preserve"> </w:t>
      </w:r>
      <w:r w:rsidR="007218A3">
        <w:rPr>
          <w:rFonts w:ascii="Calibri" w:hAnsi="Calibri"/>
          <w:color w:val="000000"/>
        </w:rPr>
        <w:t>(1986)</w:t>
      </w:r>
      <w:r w:rsidR="006008AD">
        <w:rPr>
          <w:rFonts w:ascii="Calibri" w:hAnsi="Calibri"/>
          <w:color w:val="000000"/>
        </w:rPr>
        <w:t>, Hamao (1989), and Kaneko and Lee (1995) for Japan</w:t>
      </w:r>
      <w:r w:rsidR="00221CDE">
        <w:rPr>
          <w:rFonts w:ascii="Calibri" w:hAnsi="Calibri"/>
          <w:color w:val="000000"/>
        </w:rPr>
        <w:t>;</w:t>
      </w:r>
      <w:r w:rsidR="006008AD">
        <w:rPr>
          <w:rFonts w:ascii="Calibri" w:hAnsi="Calibri"/>
          <w:color w:val="000000"/>
        </w:rPr>
        <w:t xml:space="preserve"> Ferson and Harvey (1995) for 18 </w:t>
      </w:r>
      <w:r w:rsidR="00674202">
        <w:rPr>
          <w:rFonts w:ascii="Calibri" w:hAnsi="Calibri"/>
          <w:color w:val="000000"/>
        </w:rPr>
        <w:t>stock</w:t>
      </w:r>
      <w:r w:rsidR="006008AD">
        <w:rPr>
          <w:rFonts w:ascii="Calibri" w:hAnsi="Calibri"/>
          <w:color w:val="000000"/>
        </w:rPr>
        <w:t xml:space="preserve"> markets,</w:t>
      </w:r>
      <w:r w:rsidR="008A29C9">
        <w:rPr>
          <w:rFonts w:ascii="Calibri" w:hAnsi="Calibri"/>
          <w:color w:val="000000"/>
        </w:rPr>
        <w:t xml:space="preserve"> King </w:t>
      </w:r>
      <w:r w:rsidR="00E1141E" w:rsidRPr="00E1141E">
        <w:rPr>
          <w:rFonts w:ascii="Calibri" w:hAnsi="Calibri"/>
          <w:i/>
          <w:color w:val="000000"/>
        </w:rPr>
        <w:t>et al.</w:t>
      </w:r>
      <w:r w:rsidR="008A29C9">
        <w:rPr>
          <w:rFonts w:ascii="Calibri" w:hAnsi="Calibri"/>
          <w:color w:val="000000"/>
        </w:rPr>
        <w:t xml:space="preserve"> (1994) for a sample of developed and emerging markets</w:t>
      </w:r>
      <w:r w:rsidR="00221CDE">
        <w:rPr>
          <w:rFonts w:ascii="Calibri" w:hAnsi="Calibri"/>
          <w:color w:val="000000"/>
        </w:rPr>
        <w:t>;</w:t>
      </w:r>
      <w:r w:rsidR="006008AD">
        <w:rPr>
          <w:rFonts w:ascii="Calibri" w:hAnsi="Calibri"/>
          <w:color w:val="000000"/>
        </w:rPr>
        <w:t xml:space="preserve"> Jones and Kaul (1996) for Canada, </w:t>
      </w:r>
      <w:r w:rsidR="00221CDE">
        <w:rPr>
          <w:rFonts w:ascii="Calibri" w:hAnsi="Calibri"/>
          <w:color w:val="000000"/>
        </w:rPr>
        <w:t xml:space="preserve">the </w:t>
      </w:r>
      <w:r w:rsidR="006008AD">
        <w:rPr>
          <w:rFonts w:ascii="Calibri" w:hAnsi="Calibri"/>
          <w:color w:val="000000"/>
        </w:rPr>
        <w:t xml:space="preserve">United States (US), Japan and </w:t>
      </w:r>
      <w:r w:rsidR="00221CDE">
        <w:rPr>
          <w:rFonts w:ascii="Calibri" w:hAnsi="Calibri"/>
          <w:color w:val="000000"/>
        </w:rPr>
        <w:t xml:space="preserve">the </w:t>
      </w:r>
      <w:r w:rsidR="006008AD">
        <w:rPr>
          <w:rFonts w:ascii="Calibri" w:hAnsi="Calibri"/>
          <w:color w:val="000000"/>
        </w:rPr>
        <w:t>United Kingdom (UK)</w:t>
      </w:r>
      <w:r w:rsidR="00221CDE">
        <w:rPr>
          <w:rFonts w:ascii="Calibri" w:hAnsi="Calibri"/>
          <w:color w:val="000000"/>
        </w:rPr>
        <w:t>;</w:t>
      </w:r>
      <w:r w:rsidR="00126F78">
        <w:rPr>
          <w:rFonts w:ascii="Calibri" w:hAnsi="Calibri"/>
          <w:color w:val="000000"/>
        </w:rPr>
        <w:t xml:space="preserve"> </w:t>
      </w:r>
      <w:r w:rsidR="00FE30A9">
        <w:rPr>
          <w:rFonts w:ascii="Calibri" w:hAnsi="Calibri"/>
          <w:color w:val="000000"/>
        </w:rPr>
        <w:t>Sadorsky (2003) for the US</w:t>
      </w:r>
      <w:r w:rsidR="00221CDE">
        <w:rPr>
          <w:rFonts w:ascii="Calibri" w:hAnsi="Calibri"/>
          <w:color w:val="000000"/>
        </w:rPr>
        <w:t>;</w:t>
      </w:r>
      <w:r w:rsidR="00FE30A9">
        <w:rPr>
          <w:rFonts w:ascii="Calibri" w:hAnsi="Calibri"/>
          <w:color w:val="000000"/>
        </w:rPr>
        <w:t xml:space="preserve"> Papapetrou (2001) for Greece</w:t>
      </w:r>
      <w:r w:rsidR="00221CDE">
        <w:rPr>
          <w:rFonts w:ascii="Calibri" w:hAnsi="Calibri"/>
          <w:color w:val="000000"/>
        </w:rPr>
        <w:t>;</w:t>
      </w:r>
      <w:r w:rsidR="00CB03F1">
        <w:rPr>
          <w:rFonts w:ascii="Calibri" w:hAnsi="Calibri"/>
          <w:color w:val="000000"/>
        </w:rPr>
        <w:t xml:space="preserve"> and</w:t>
      </w:r>
      <w:r w:rsidR="00FE30A9">
        <w:rPr>
          <w:rFonts w:ascii="Calibri" w:hAnsi="Calibri"/>
          <w:color w:val="000000"/>
        </w:rPr>
        <w:t xml:space="preserve"> </w:t>
      </w:r>
      <w:r w:rsidR="005B5F74">
        <w:rPr>
          <w:rFonts w:ascii="Calibri" w:hAnsi="Calibri"/>
          <w:color w:val="000000"/>
        </w:rPr>
        <w:t>El-</w:t>
      </w:r>
      <w:r w:rsidR="008A29C9">
        <w:rPr>
          <w:rFonts w:ascii="Calibri" w:hAnsi="Calibri"/>
          <w:color w:val="000000"/>
        </w:rPr>
        <w:t xml:space="preserve">Wassal (2005) for oil exporting countries in Asia, Africa and Latin America, </w:t>
      </w:r>
      <w:r w:rsidR="00CB03F1">
        <w:rPr>
          <w:rFonts w:ascii="Calibri" w:hAnsi="Calibri"/>
          <w:color w:val="000000"/>
        </w:rPr>
        <w:t>among others.</w:t>
      </w:r>
      <w:r w:rsidR="000B753B">
        <w:rPr>
          <w:rFonts w:ascii="Calibri" w:hAnsi="Calibri"/>
          <w:color w:val="000000"/>
        </w:rPr>
        <w:t xml:space="preserve"> </w:t>
      </w:r>
      <w:r w:rsidR="00221CDE">
        <w:rPr>
          <w:rFonts w:ascii="Calibri" w:hAnsi="Calibri"/>
          <w:color w:val="000000"/>
        </w:rPr>
        <w:t>Their o</w:t>
      </w:r>
      <w:r w:rsidR="000B753B">
        <w:rPr>
          <w:rFonts w:ascii="Calibri" w:hAnsi="Calibri"/>
          <w:color w:val="000000"/>
        </w:rPr>
        <w:t>verall findings are in line with what Hamilton (1983</w:t>
      </w:r>
      <w:r w:rsidR="00286D17">
        <w:rPr>
          <w:rFonts w:ascii="Calibri" w:hAnsi="Calibri"/>
          <w:color w:val="000000"/>
        </w:rPr>
        <w:t>, 1996, 2003</w:t>
      </w:r>
      <w:r w:rsidR="000B753B">
        <w:rPr>
          <w:rFonts w:ascii="Calibri" w:hAnsi="Calibri"/>
          <w:color w:val="000000"/>
        </w:rPr>
        <w:t xml:space="preserve">), </w:t>
      </w:r>
      <w:r w:rsidR="00286D17">
        <w:rPr>
          <w:rFonts w:ascii="Calibri" w:hAnsi="Calibri"/>
          <w:color w:val="000000"/>
        </w:rPr>
        <w:t xml:space="preserve">Hamilton and Herrera (2004), </w:t>
      </w:r>
      <w:r w:rsidR="000B753B">
        <w:rPr>
          <w:rFonts w:ascii="Calibri" w:hAnsi="Calibri"/>
          <w:color w:val="000000"/>
        </w:rPr>
        <w:t>Cunado and Perez de Garcia (2005), and Kilian (2008</w:t>
      </w:r>
      <w:r w:rsidR="00CC62F5">
        <w:rPr>
          <w:rFonts w:ascii="Calibri" w:hAnsi="Calibri"/>
          <w:color w:val="000000"/>
        </w:rPr>
        <w:t>a</w:t>
      </w:r>
      <w:r w:rsidR="000B753B">
        <w:rPr>
          <w:rFonts w:ascii="Calibri" w:hAnsi="Calibri"/>
          <w:color w:val="000000"/>
        </w:rPr>
        <w:t>) have documented</w:t>
      </w:r>
      <w:r w:rsidR="00221CDE">
        <w:rPr>
          <w:rFonts w:ascii="Calibri" w:hAnsi="Calibri"/>
          <w:color w:val="000000"/>
        </w:rPr>
        <w:t>:</w:t>
      </w:r>
      <w:r w:rsidR="000B753B">
        <w:rPr>
          <w:rFonts w:ascii="Calibri" w:hAnsi="Calibri"/>
          <w:color w:val="000000"/>
        </w:rPr>
        <w:t xml:space="preserve"> oil price shocks affect key macroeconomic variables in both developed and emerging markets with different intensities and </w:t>
      </w:r>
      <w:r w:rsidR="001D4329">
        <w:rPr>
          <w:rFonts w:ascii="Calibri" w:hAnsi="Calibri"/>
          <w:color w:val="000000"/>
        </w:rPr>
        <w:t xml:space="preserve">through </w:t>
      </w:r>
      <w:r w:rsidR="000B753B">
        <w:rPr>
          <w:rFonts w:ascii="Calibri" w:hAnsi="Calibri"/>
          <w:color w:val="000000"/>
        </w:rPr>
        <w:t xml:space="preserve">different mechanisms. Not surprisingly, given the newness of </w:t>
      </w:r>
      <w:r w:rsidR="0033523A">
        <w:rPr>
          <w:rFonts w:ascii="Calibri" w:hAnsi="Calibri"/>
          <w:color w:val="000000"/>
        </w:rPr>
        <w:t xml:space="preserve">the </w:t>
      </w:r>
      <w:r w:rsidR="000B753B">
        <w:rPr>
          <w:rFonts w:ascii="Calibri" w:hAnsi="Calibri"/>
          <w:color w:val="000000"/>
        </w:rPr>
        <w:t>GCC stoc</w:t>
      </w:r>
      <w:r w:rsidR="00337A16">
        <w:rPr>
          <w:rFonts w:ascii="Calibri" w:hAnsi="Calibri"/>
          <w:color w:val="000000"/>
        </w:rPr>
        <w:t>k markets and the lack of high frequency macroeconomic data, this line of research has not been exploited.</w:t>
      </w:r>
      <w:r w:rsidR="003B233D">
        <w:rPr>
          <w:rStyle w:val="FootnoteReference"/>
          <w:rFonts w:ascii="Calibri" w:hAnsi="Calibri"/>
          <w:color w:val="000000"/>
        </w:rPr>
        <w:footnoteReference w:id="1"/>
      </w:r>
      <w:r w:rsidR="000B753B">
        <w:rPr>
          <w:rFonts w:ascii="Calibri" w:hAnsi="Calibri"/>
          <w:color w:val="000000"/>
        </w:rPr>
        <w:t xml:space="preserve">  </w:t>
      </w:r>
      <w:r w:rsidR="006008AD">
        <w:rPr>
          <w:rFonts w:ascii="Calibri" w:hAnsi="Calibri"/>
          <w:color w:val="000000"/>
        </w:rPr>
        <w:t xml:space="preserve"> </w:t>
      </w:r>
      <w:r w:rsidR="007218A3">
        <w:rPr>
          <w:rFonts w:ascii="Calibri" w:hAnsi="Calibri"/>
          <w:color w:val="000000"/>
        </w:rPr>
        <w:t xml:space="preserve"> </w:t>
      </w:r>
    </w:p>
    <w:p w:rsidR="00B231AA" w:rsidRDefault="007564F6" w:rsidP="009C1ED7">
      <w:pPr>
        <w:rPr>
          <w:rFonts w:ascii="Calibri" w:hAnsi="Calibri"/>
          <w:color w:val="000000"/>
        </w:rPr>
      </w:pPr>
      <w:r>
        <w:rPr>
          <w:rFonts w:ascii="Calibri" w:hAnsi="Calibri"/>
          <w:color w:val="000000"/>
        </w:rPr>
        <w:t>Another strand of the literature has focused on the differing effects that u</w:t>
      </w:r>
      <w:r w:rsidR="00C41702">
        <w:rPr>
          <w:rFonts w:ascii="Calibri" w:hAnsi="Calibri"/>
          <w:color w:val="000000"/>
        </w:rPr>
        <w:t>nanticipated change in the price of</w:t>
      </w:r>
      <w:r w:rsidR="00E2098B">
        <w:rPr>
          <w:rFonts w:ascii="Calibri" w:hAnsi="Calibri"/>
          <w:color w:val="000000"/>
        </w:rPr>
        <w:t xml:space="preserve"> oil</w:t>
      </w:r>
      <w:r w:rsidR="00C41702">
        <w:rPr>
          <w:rFonts w:ascii="Calibri" w:hAnsi="Calibri"/>
          <w:color w:val="000000"/>
        </w:rPr>
        <w:t xml:space="preserve"> </w:t>
      </w:r>
      <w:r>
        <w:rPr>
          <w:rFonts w:ascii="Calibri" w:hAnsi="Calibri"/>
          <w:color w:val="000000"/>
        </w:rPr>
        <w:t>can have</w:t>
      </w:r>
      <w:r w:rsidR="00C41702">
        <w:rPr>
          <w:rFonts w:ascii="Calibri" w:hAnsi="Calibri"/>
          <w:color w:val="000000"/>
        </w:rPr>
        <w:t xml:space="preserve"> on the share prices of </w:t>
      </w:r>
      <w:r w:rsidR="000C7DFD">
        <w:rPr>
          <w:rFonts w:ascii="Calibri" w:hAnsi="Calibri"/>
          <w:color w:val="000000"/>
        </w:rPr>
        <w:t xml:space="preserve">oil and non-oil </w:t>
      </w:r>
      <w:r w:rsidR="00C41702">
        <w:rPr>
          <w:rFonts w:ascii="Calibri" w:hAnsi="Calibri"/>
          <w:color w:val="000000"/>
        </w:rPr>
        <w:t>companies</w:t>
      </w:r>
      <w:r w:rsidR="0078569A">
        <w:rPr>
          <w:rFonts w:ascii="Calibri" w:hAnsi="Calibri"/>
          <w:color w:val="000000"/>
        </w:rPr>
        <w:t xml:space="preserve"> </w:t>
      </w:r>
      <w:r w:rsidR="00C41702">
        <w:rPr>
          <w:rFonts w:ascii="Calibri" w:hAnsi="Calibri"/>
          <w:color w:val="000000"/>
        </w:rPr>
        <w:t xml:space="preserve">as </w:t>
      </w:r>
      <w:r w:rsidR="00E2098B">
        <w:rPr>
          <w:rFonts w:ascii="Calibri" w:hAnsi="Calibri"/>
          <w:color w:val="000000"/>
        </w:rPr>
        <w:t>expectations</w:t>
      </w:r>
      <w:r w:rsidR="00C41702">
        <w:rPr>
          <w:rFonts w:ascii="Calibri" w:hAnsi="Calibri"/>
          <w:color w:val="000000"/>
        </w:rPr>
        <w:t xml:space="preserve"> abo</w:t>
      </w:r>
      <w:r w:rsidR="00E2098B">
        <w:rPr>
          <w:rFonts w:ascii="Calibri" w:hAnsi="Calibri"/>
          <w:color w:val="000000"/>
        </w:rPr>
        <w:t xml:space="preserve">ut </w:t>
      </w:r>
      <w:r>
        <w:rPr>
          <w:rFonts w:ascii="Calibri" w:hAnsi="Calibri"/>
          <w:color w:val="000000"/>
        </w:rPr>
        <w:t xml:space="preserve">future </w:t>
      </w:r>
      <w:r w:rsidR="00E2098B">
        <w:rPr>
          <w:rFonts w:ascii="Calibri" w:hAnsi="Calibri"/>
          <w:color w:val="000000"/>
        </w:rPr>
        <w:t>dividends are factored in</w:t>
      </w:r>
      <w:r w:rsidR="00B87D93">
        <w:rPr>
          <w:rFonts w:ascii="Calibri" w:hAnsi="Calibri"/>
          <w:color w:val="000000"/>
        </w:rPr>
        <w:t>to</w:t>
      </w:r>
      <w:r w:rsidR="00E2098B">
        <w:rPr>
          <w:rFonts w:ascii="Calibri" w:hAnsi="Calibri"/>
          <w:color w:val="000000"/>
        </w:rPr>
        <w:t xml:space="preserve"> investors’ portfolio decision</w:t>
      </w:r>
      <w:r w:rsidR="00DC0FD1">
        <w:rPr>
          <w:rFonts w:ascii="Calibri" w:hAnsi="Calibri"/>
          <w:color w:val="000000"/>
        </w:rPr>
        <w:t>s</w:t>
      </w:r>
      <w:r w:rsidR="00E2098B">
        <w:rPr>
          <w:rFonts w:ascii="Calibri" w:hAnsi="Calibri"/>
          <w:color w:val="000000"/>
        </w:rPr>
        <w:t>.</w:t>
      </w:r>
      <w:r>
        <w:rPr>
          <w:rFonts w:ascii="Calibri" w:hAnsi="Calibri"/>
          <w:color w:val="000000"/>
        </w:rPr>
        <w:t xml:space="preserve"> To this end, </w:t>
      </w:r>
      <w:r w:rsidR="00B52776">
        <w:rPr>
          <w:rFonts w:ascii="Calibri" w:hAnsi="Calibri"/>
          <w:color w:val="000000"/>
        </w:rPr>
        <w:t xml:space="preserve">researchers have conducted </w:t>
      </w:r>
      <w:r w:rsidR="00101139">
        <w:rPr>
          <w:rFonts w:ascii="Calibri" w:hAnsi="Calibri"/>
          <w:color w:val="000000"/>
        </w:rPr>
        <w:t xml:space="preserve">two types of </w:t>
      </w:r>
      <w:r w:rsidR="00DC0FD1">
        <w:rPr>
          <w:rFonts w:ascii="Calibri" w:hAnsi="Calibri"/>
          <w:color w:val="000000"/>
        </w:rPr>
        <w:t xml:space="preserve">inquiry </w:t>
      </w:r>
      <w:r w:rsidR="00101139">
        <w:rPr>
          <w:rFonts w:ascii="Calibri" w:hAnsi="Calibri"/>
          <w:color w:val="000000"/>
        </w:rPr>
        <w:t>at the cross-country level:  (a) a</w:t>
      </w:r>
      <w:r w:rsidR="000C7DFD">
        <w:rPr>
          <w:rFonts w:ascii="Calibri" w:hAnsi="Calibri"/>
          <w:color w:val="000000"/>
        </w:rPr>
        <w:t>ssess</w:t>
      </w:r>
      <w:r w:rsidR="00101139">
        <w:rPr>
          <w:rFonts w:ascii="Calibri" w:hAnsi="Calibri"/>
          <w:color w:val="000000"/>
        </w:rPr>
        <w:t xml:space="preserve">ment of </w:t>
      </w:r>
      <w:r w:rsidR="00281A9E">
        <w:rPr>
          <w:rFonts w:ascii="Calibri" w:hAnsi="Calibri"/>
          <w:color w:val="000000"/>
        </w:rPr>
        <w:t>the state of stock market integration</w:t>
      </w:r>
      <w:r w:rsidR="001D7657">
        <w:rPr>
          <w:rFonts w:ascii="Calibri" w:hAnsi="Calibri"/>
          <w:color w:val="000000"/>
        </w:rPr>
        <w:t>, and</w:t>
      </w:r>
      <w:r w:rsidR="00834500">
        <w:rPr>
          <w:rFonts w:ascii="Calibri" w:hAnsi="Calibri"/>
          <w:color w:val="000000"/>
        </w:rPr>
        <w:t xml:space="preserve"> (b) investigation into</w:t>
      </w:r>
      <w:r w:rsidR="00725267">
        <w:rPr>
          <w:rFonts w:ascii="Calibri" w:hAnsi="Calibri"/>
          <w:color w:val="000000"/>
        </w:rPr>
        <w:t xml:space="preserve"> the linkages between o</w:t>
      </w:r>
      <w:r w:rsidR="00834500">
        <w:rPr>
          <w:rFonts w:ascii="Calibri" w:hAnsi="Calibri"/>
          <w:color w:val="000000"/>
        </w:rPr>
        <w:t>il price returns (</w:t>
      </w:r>
      <w:r w:rsidR="00725267">
        <w:rPr>
          <w:rFonts w:ascii="Calibri" w:hAnsi="Calibri"/>
          <w:color w:val="000000"/>
        </w:rPr>
        <w:t>volatilities</w:t>
      </w:r>
      <w:r w:rsidR="00834500">
        <w:rPr>
          <w:rFonts w:ascii="Calibri" w:hAnsi="Calibri"/>
          <w:color w:val="000000"/>
        </w:rPr>
        <w:t>)</w:t>
      </w:r>
      <w:r w:rsidR="00725267">
        <w:rPr>
          <w:rFonts w:ascii="Calibri" w:hAnsi="Calibri"/>
          <w:color w:val="000000"/>
        </w:rPr>
        <w:t xml:space="preserve"> and national </w:t>
      </w:r>
      <w:r w:rsidR="00674202">
        <w:rPr>
          <w:rFonts w:ascii="Calibri" w:hAnsi="Calibri"/>
          <w:color w:val="000000"/>
        </w:rPr>
        <w:t>stock</w:t>
      </w:r>
      <w:r w:rsidR="00725267">
        <w:rPr>
          <w:rFonts w:ascii="Calibri" w:hAnsi="Calibri"/>
          <w:color w:val="000000"/>
        </w:rPr>
        <w:t xml:space="preserve"> </w:t>
      </w:r>
      <w:r w:rsidR="00DC0FD1">
        <w:rPr>
          <w:rFonts w:ascii="Calibri" w:hAnsi="Calibri"/>
          <w:color w:val="000000"/>
        </w:rPr>
        <w:t>indices</w:t>
      </w:r>
      <w:r w:rsidR="00B52776">
        <w:rPr>
          <w:rFonts w:ascii="Calibri" w:hAnsi="Calibri"/>
          <w:color w:val="000000"/>
        </w:rPr>
        <w:t xml:space="preserve">. </w:t>
      </w:r>
      <w:r w:rsidR="00281A9E">
        <w:rPr>
          <w:rFonts w:ascii="Calibri" w:hAnsi="Calibri"/>
          <w:color w:val="000000"/>
        </w:rPr>
        <w:t>Several</w:t>
      </w:r>
      <w:r w:rsidR="00A50B7E">
        <w:rPr>
          <w:rFonts w:ascii="Calibri" w:hAnsi="Calibri"/>
          <w:color w:val="000000"/>
        </w:rPr>
        <w:t xml:space="preserve"> methodological approaches have been followed and data of various frequencies</w:t>
      </w:r>
      <w:r w:rsidR="000C3D8B">
        <w:rPr>
          <w:rFonts w:ascii="Calibri" w:hAnsi="Calibri"/>
          <w:color w:val="000000"/>
        </w:rPr>
        <w:t xml:space="preserve"> from various sources</w:t>
      </w:r>
      <w:r w:rsidR="00A50B7E">
        <w:rPr>
          <w:rFonts w:ascii="Calibri" w:hAnsi="Calibri"/>
          <w:color w:val="000000"/>
        </w:rPr>
        <w:t xml:space="preserve"> have been used. </w:t>
      </w:r>
      <w:r w:rsidR="00A04404">
        <w:rPr>
          <w:rFonts w:ascii="Calibri" w:hAnsi="Calibri"/>
          <w:color w:val="000000"/>
        </w:rPr>
        <w:t xml:space="preserve">Early studies on </w:t>
      </w:r>
      <w:r w:rsidR="00B974BD">
        <w:rPr>
          <w:rFonts w:ascii="Calibri" w:hAnsi="Calibri"/>
          <w:color w:val="000000"/>
        </w:rPr>
        <w:t>stock market linkages</w:t>
      </w:r>
      <w:r w:rsidR="00A04404">
        <w:rPr>
          <w:rFonts w:ascii="Calibri" w:hAnsi="Calibri"/>
          <w:color w:val="000000"/>
        </w:rPr>
        <w:t xml:space="preserve"> </w:t>
      </w:r>
      <w:r w:rsidR="00DC0FD1">
        <w:rPr>
          <w:rFonts w:ascii="Calibri" w:hAnsi="Calibri"/>
          <w:color w:val="000000"/>
        </w:rPr>
        <w:t xml:space="preserve">include </w:t>
      </w:r>
      <w:r w:rsidR="00A04404">
        <w:rPr>
          <w:rFonts w:ascii="Calibri" w:hAnsi="Calibri"/>
          <w:color w:val="000000"/>
        </w:rPr>
        <w:t xml:space="preserve">the work of </w:t>
      </w:r>
      <w:r w:rsidR="008E7854">
        <w:rPr>
          <w:rFonts w:ascii="Calibri" w:hAnsi="Calibri"/>
          <w:color w:val="000000"/>
        </w:rPr>
        <w:t xml:space="preserve">Harvey (1995a,b), </w:t>
      </w:r>
      <w:r w:rsidR="00A04404">
        <w:rPr>
          <w:rFonts w:ascii="Calibri" w:hAnsi="Calibri"/>
          <w:color w:val="000000"/>
        </w:rPr>
        <w:t>Darrat</w:t>
      </w:r>
      <w:r w:rsidR="00914185">
        <w:rPr>
          <w:rFonts w:ascii="Calibri" w:hAnsi="Calibri"/>
          <w:color w:val="000000"/>
        </w:rPr>
        <w:t xml:space="preserve"> </w:t>
      </w:r>
      <w:r w:rsidR="00E1141E" w:rsidRPr="00E1141E">
        <w:rPr>
          <w:rFonts w:ascii="Calibri" w:hAnsi="Calibri"/>
          <w:i/>
          <w:color w:val="000000"/>
        </w:rPr>
        <w:t>et al.</w:t>
      </w:r>
      <w:r w:rsidR="008E7854">
        <w:rPr>
          <w:rFonts w:ascii="Calibri" w:hAnsi="Calibri"/>
          <w:color w:val="000000"/>
        </w:rPr>
        <w:t xml:space="preserve"> (2000),</w:t>
      </w:r>
      <w:r w:rsidR="00914185">
        <w:rPr>
          <w:rFonts w:ascii="Calibri" w:hAnsi="Calibri"/>
          <w:color w:val="000000"/>
        </w:rPr>
        <w:t xml:space="preserve"> Abraham </w:t>
      </w:r>
      <w:r w:rsidR="00E1141E" w:rsidRPr="00E1141E">
        <w:rPr>
          <w:rFonts w:ascii="Calibri" w:hAnsi="Calibri"/>
          <w:i/>
          <w:color w:val="000000"/>
        </w:rPr>
        <w:t>et al.</w:t>
      </w:r>
      <w:r w:rsidR="00A04404">
        <w:rPr>
          <w:rFonts w:ascii="Calibri" w:hAnsi="Calibri"/>
          <w:color w:val="000000"/>
        </w:rPr>
        <w:t xml:space="preserve"> (2001),</w:t>
      </w:r>
      <w:r w:rsidR="008E7854">
        <w:rPr>
          <w:rFonts w:ascii="Calibri" w:hAnsi="Calibri"/>
          <w:color w:val="000000"/>
        </w:rPr>
        <w:t xml:space="preserve"> Omran and Gunduz (2001)</w:t>
      </w:r>
      <w:r w:rsidR="00914185">
        <w:rPr>
          <w:rFonts w:ascii="Calibri" w:hAnsi="Calibri"/>
          <w:color w:val="000000"/>
        </w:rPr>
        <w:t xml:space="preserve">, Girard </w:t>
      </w:r>
      <w:r w:rsidR="00E1141E" w:rsidRPr="00E1141E">
        <w:rPr>
          <w:rFonts w:ascii="Calibri" w:hAnsi="Calibri"/>
          <w:i/>
          <w:color w:val="000000"/>
        </w:rPr>
        <w:t>et al.</w:t>
      </w:r>
      <w:r w:rsidR="00B1313D">
        <w:rPr>
          <w:rFonts w:ascii="Calibri" w:hAnsi="Calibri"/>
          <w:color w:val="000000"/>
        </w:rPr>
        <w:t xml:space="preserve"> (2003), </w:t>
      </w:r>
      <w:r w:rsidR="00DC0FD1">
        <w:rPr>
          <w:rFonts w:ascii="Calibri" w:hAnsi="Calibri"/>
          <w:color w:val="000000"/>
        </w:rPr>
        <w:t xml:space="preserve">and </w:t>
      </w:r>
      <w:r w:rsidR="00B1313D">
        <w:rPr>
          <w:rFonts w:ascii="Calibri" w:hAnsi="Calibri"/>
          <w:color w:val="000000"/>
        </w:rPr>
        <w:t>Girard and Ferreira (2004)</w:t>
      </w:r>
      <w:r w:rsidR="008E7854">
        <w:rPr>
          <w:rFonts w:ascii="Calibri" w:hAnsi="Calibri"/>
          <w:color w:val="000000"/>
        </w:rPr>
        <w:t xml:space="preserve"> for the Middle</w:t>
      </w:r>
      <w:r w:rsidR="00DC0FD1">
        <w:rPr>
          <w:rFonts w:ascii="Calibri" w:hAnsi="Calibri"/>
          <w:color w:val="000000"/>
        </w:rPr>
        <w:t xml:space="preserve"> </w:t>
      </w:r>
      <w:r w:rsidR="008E7854">
        <w:rPr>
          <w:rFonts w:ascii="Calibri" w:hAnsi="Calibri"/>
          <w:color w:val="000000"/>
        </w:rPr>
        <w:t>East and North African</w:t>
      </w:r>
      <w:r w:rsidR="001E4D1A">
        <w:rPr>
          <w:rFonts w:ascii="Calibri" w:hAnsi="Calibri"/>
          <w:color w:val="000000"/>
        </w:rPr>
        <w:t xml:space="preserve"> (MENA)</w:t>
      </w:r>
      <w:r w:rsidR="008E7854">
        <w:rPr>
          <w:rFonts w:ascii="Calibri" w:hAnsi="Calibri"/>
          <w:color w:val="000000"/>
        </w:rPr>
        <w:t xml:space="preserve"> region</w:t>
      </w:r>
      <w:r w:rsidR="00DC0FD1">
        <w:rPr>
          <w:rFonts w:ascii="Calibri" w:hAnsi="Calibri"/>
          <w:color w:val="000000"/>
        </w:rPr>
        <w:t>;</w:t>
      </w:r>
      <w:r w:rsidR="008E7854">
        <w:rPr>
          <w:rFonts w:ascii="Calibri" w:hAnsi="Calibri"/>
          <w:color w:val="000000"/>
        </w:rPr>
        <w:t xml:space="preserve"> </w:t>
      </w:r>
      <w:r w:rsidR="00DC0FD1">
        <w:rPr>
          <w:rFonts w:ascii="Calibri" w:hAnsi="Calibri"/>
          <w:color w:val="000000"/>
        </w:rPr>
        <w:t xml:space="preserve">and </w:t>
      </w:r>
      <w:r w:rsidR="008E7854">
        <w:rPr>
          <w:rFonts w:ascii="Calibri" w:hAnsi="Calibri"/>
          <w:color w:val="000000"/>
        </w:rPr>
        <w:t>Hammoudeh and Aleisa (2004)</w:t>
      </w:r>
      <w:r w:rsidR="00914185">
        <w:rPr>
          <w:rFonts w:ascii="Calibri" w:hAnsi="Calibri"/>
          <w:color w:val="000000"/>
        </w:rPr>
        <w:t xml:space="preserve">, </w:t>
      </w:r>
      <w:r w:rsidR="00DC0FD1">
        <w:rPr>
          <w:rFonts w:ascii="Calibri" w:hAnsi="Calibri"/>
          <w:color w:val="000000"/>
        </w:rPr>
        <w:t xml:space="preserve">and </w:t>
      </w:r>
      <w:r w:rsidR="00914185">
        <w:rPr>
          <w:rFonts w:ascii="Calibri" w:hAnsi="Calibri"/>
          <w:color w:val="000000"/>
        </w:rPr>
        <w:t xml:space="preserve">Al-Khazali </w:t>
      </w:r>
      <w:r w:rsidR="00E1141E" w:rsidRPr="00E1141E">
        <w:rPr>
          <w:rFonts w:ascii="Calibri" w:hAnsi="Calibri"/>
          <w:i/>
          <w:color w:val="000000"/>
        </w:rPr>
        <w:t>et al.</w:t>
      </w:r>
      <w:r w:rsidR="001E4D1A">
        <w:rPr>
          <w:rFonts w:ascii="Calibri" w:hAnsi="Calibri"/>
          <w:color w:val="000000"/>
        </w:rPr>
        <w:t xml:space="preserve"> (2006)</w:t>
      </w:r>
      <w:r w:rsidR="008E7854">
        <w:rPr>
          <w:rFonts w:ascii="Calibri" w:hAnsi="Calibri"/>
          <w:color w:val="000000"/>
        </w:rPr>
        <w:t xml:space="preserve"> for a sample of the GCC markets, Bley and Chen (2006) fo</w:t>
      </w:r>
      <w:r w:rsidR="00B231AA">
        <w:rPr>
          <w:rFonts w:ascii="Calibri" w:hAnsi="Calibri"/>
          <w:color w:val="000000"/>
        </w:rPr>
        <w:t xml:space="preserve">r </w:t>
      </w:r>
      <w:r w:rsidR="00DC0FD1">
        <w:rPr>
          <w:rFonts w:ascii="Calibri" w:hAnsi="Calibri"/>
          <w:color w:val="000000"/>
        </w:rPr>
        <w:t>all</w:t>
      </w:r>
      <w:r w:rsidR="00B231AA">
        <w:rPr>
          <w:rFonts w:ascii="Calibri" w:hAnsi="Calibri"/>
          <w:color w:val="000000"/>
        </w:rPr>
        <w:t xml:space="preserve"> of the GCC markets.</w:t>
      </w:r>
      <w:r w:rsidR="003730D4">
        <w:rPr>
          <w:rFonts w:ascii="Calibri" w:hAnsi="Calibri"/>
          <w:color w:val="000000"/>
        </w:rPr>
        <w:t xml:space="preserve"> A number of</w:t>
      </w:r>
      <w:r w:rsidR="00DC0FD1">
        <w:rPr>
          <w:rFonts w:ascii="Calibri" w:hAnsi="Calibri"/>
          <w:color w:val="000000"/>
        </w:rPr>
        <w:t xml:space="preserve"> other</w:t>
      </w:r>
      <w:r w:rsidR="003730D4">
        <w:rPr>
          <w:rFonts w:ascii="Calibri" w:hAnsi="Calibri"/>
          <w:color w:val="000000"/>
        </w:rPr>
        <w:t xml:space="preserve"> studies have focused </w:t>
      </w:r>
      <w:r w:rsidR="00DC0FD1">
        <w:rPr>
          <w:rFonts w:ascii="Calibri" w:hAnsi="Calibri"/>
          <w:color w:val="000000"/>
        </w:rPr>
        <w:t xml:space="preserve">instead </w:t>
      </w:r>
      <w:r w:rsidR="003730D4">
        <w:rPr>
          <w:rFonts w:ascii="Calibri" w:hAnsi="Calibri"/>
          <w:color w:val="000000"/>
        </w:rPr>
        <w:t>on contagion and spillover effects</w:t>
      </w:r>
      <w:r w:rsidR="00B75AF3">
        <w:rPr>
          <w:rFonts w:ascii="Calibri" w:hAnsi="Calibri"/>
          <w:color w:val="000000"/>
        </w:rPr>
        <w:t xml:space="preserve"> that </w:t>
      </w:r>
      <w:r w:rsidR="00B75AF3">
        <w:rPr>
          <w:rFonts w:ascii="Calibri" w:hAnsi="Calibri"/>
          <w:color w:val="000000"/>
        </w:rPr>
        <w:lastRenderedPageBreak/>
        <w:t xml:space="preserve">may take place </w:t>
      </w:r>
      <w:r w:rsidR="00DC0FD1">
        <w:rPr>
          <w:rFonts w:ascii="Calibri" w:hAnsi="Calibri"/>
          <w:color w:val="000000"/>
        </w:rPr>
        <w:t xml:space="preserve">through </w:t>
      </w:r>
      <w:r w:rsidR="000C1CFF">
        <w:rPr>
          <w:rFonts w:ascii="Calibri" w:hAnsi="Calibri"/>
          <w:color w:val="000000"/>
        </w:rPr>
        <w:t>financial markets</w:t>
      </w:r>
      <w:r w:rsidR="00B75AF3">
        <w:rPr>
          <w:rFonts w:ascii="Calibri" w:hAnsi="Calibri"/>
          <w:color w:val="000000"/>
        </w:rPr>
        <w:t>, trade and real-economic sector linkages</w:t>
      </w:r>
      <w:r w:rsidR="003730D4">
        <w:rPr>
          <w:rFonts w:ascii="Calibri" w:hAnsi="Calibri"/>
          <w:color w:val="000000"/>
        </w:rPr>
        <w:t>.</w:t>
      </w:r>
      <w:r w:rsidR="009F39EE">
        <w:rPr>
          <w:rStyle w:val="FootnoteReference"/>
          <w:rFonts w:ascii="Calibri" w:hAnsi="Calibri"/>
          <w:color w:val="000000"/>
        </w:rPr>
        <w:footnoteReference w:id="2"/>
      </w:r>
      <w:r w:rsidR="007F53AA">
        <w:rPr>
          <w:rFonts w:ascii="Calibri" w:hAnsi="Calibri"/>
          <w:color w:val="000000"/>
        </w:rPr>
        <w:t xml:space="preserve"> </w:t>
      </w:r>
      <w:r w:rsidR="003730D4">
        <w:rPr>
          <w:rFonts w:ascii="Calibri" w:hAnsi="Calibri"/>
          <w:color w:val="000000"/>
        </w:rPr>
        <w:t>For example,</w:t>
      </w:r>
      <w:r w:rsidR="00C32C8F">
        <w:rPr>
          <w:rFonts w:ascii="Calibri" w:hAnsi="Calibri"/>
          <w:color w:val="000000"/>
        </w:rPr>
        <w:t xml:space="preserve"> Suliman (2011</w:t>
      </w:r>
      <w:r w:rsidR="00D37B64">
        <w:rPr>
          <w:rFonts w:ascii="Calibri" w:hAnsi="Calibri"/>
          <w:color w:val="000000"/>
        </w:rPr>
        <w:t>) examine</w:t>
      </w:r>
      <w:r w:rsidR="007C1EAB">
        <w:rPr>
          <w:rFonts w:ascii="Calibri" w:hAnsi="Calibri"/>
          <w:color w:val="000000"/>
        </w:rPr>
        <w:t>s</w:t>
      </w:r>
      <w:r w:rsidR="00D37B64">
        <w:rPr>
          <w:rFonts w:ascii="Calibri" w:hAnsi="Calibri"/>
          <w:color w:val="000000"/>
        </w:rPr>
        <w:t xml:space="preserve"> contagion and spillover effects in the GCC </w:t>
      </w:r>
      <w:r w:rsidR="00D1170F">
        <w:rPr>
          <w:rFonts w:ascii="Calibri" w:hAnsi="Calibri"/>
          <w:color w:val="000000"/>
        </w:rPr>
        <w:t>and find</w:t>
      </w:r>
      <w:r w:rsidR="007C1EAB">
        <w:rPr>
          <w:rFonts w:ascii="Calibri" w:hAnsi="Calibri"/>
          <w:color w:val="000000"/>
        </w:rPr>
        <w:t>s</w:t>
      </w:r>
      <w:r w:rsidR="00D1170F">
        <w:rPr>
          <w:rFonts w:ascii="Calibri" w:hAnsi="Calibri"/>
          <w:color w:val="000000"/>
        </w:rPr>
        <w:t xml:space="preserve"> evidence of contagion from the US stock market crash and the Thai devaluation to the GCC via Saudi Arabia, the large</w:t>
      </w:r>
      <w:r w:rsidR="00DC0FD1">
        <w:rPr>
          <w:rFonts w:ascii="Calibri" w:hAnsi="Calibri"/>
          <w:color w:val="000000"/>
        </w:rPr>
        <w:t>st</w:t>
      </w:r>
      <w:r w:rsidR="00D1170F">
        <w:rPr>
          <w:rFonts w:ascii="Calibri" w:hAnsi="Calibri"/>
          <w:color w:val="000000"/>
        </w:rPr>
        <w:t xml:space="preserve"> country</w:t>
      </w:r>
      <w:r w:rsidR="00DC0FD1">
        <w:rPr>
          <w:rFonts w:ascii="Calibri" w:hAnsi="Calibri"/>
          <w:color w:val="000000"/>
        </w:rPr>
        <w:t xml:space="preserve"> in the GCC</w:t>
      </w:r>
      <w:r w:rsidR="00D1170F">
        <w:rPr>
          <w:rFonts w:ascii="Calibri" w:hAnsi="Calibri"/>
          <w:color w:val="000000"/>
        </w:rPr>
        <w:t>.</w:t>
      </w:r>
      <w:r w:rsidR="00C32C8F">
        <w:rPr>
          <w:rFonts w:ascii="Calibri" w:hAnsi="Calibri"/>
          <w:color w:val="000000"/>
        </w:rPr>
        <w:t xml:space="preserve"> Abraham </w:t>
      </w:r>
      <w:r w:rsidR="00E1141E" w:rsidRPr="00E1141E">
        <w:rPr>
          <w:rFonts w:ascii="Calibri" w:hAnsi="Calibri"/>
          <w:i/>
          <w:color w:val="000000"/>
        </w:rPr>
        <w:t>et al.</w:t>
      </w:r>
      <w:r w:rsidR="003730D4">
        <w:rPr>
          <w:rFonts w:ascii="Calibri" w:hAnsi="Calibri"/>
          <w:color w:val="000000"/>
        </w:rPr>
        <w:t xml:space="preserve"> (2002) test</w:t>
      </w:r>
      <w:r w:rsidR="00DC0FD1">
        <w:rPr>
          <w:rFonts w:ascii="Calibri" w:hAnsi="Calibri"/>
          <w:color w:val="000000"/>
        </w:rPr>
        <w:t>ed</w:t>
      </w:r>
      <w:r w:rsidR="003730D4">
        <w:rPr>
          <w:rFonts w:ascii="Calibri" w:hAnsi="Calibri"/>
          <w:color w:val="000000"/>
        </w:rPr>
        <w:t xml:space="preserve"> the random walk behavior and efficiency of the GCC stock markets and f</w:t>
      </w:r>
      <w:r w:rsidR="00DC0FD1">
        <w:rPr>
          <w:rFonts w:ascii="Calibri" w:hAnsi="Calibri"/>
          <w:color w:val="000000"/>
        </w:rPr>
        <w:t>ou</w:t>
      </w:r>
      <w:r w:rsidR="003730D4">
        <w:rPr>
          <w:rFonts w:ascii="Calibri" w:hAnsi="Calibri"/>
          <w:color w:val="000000"/>
        </w:rPr>
        <w:t xml:space="preserve">nd evidence </w:t>
      </w:r>
      <w:r w:rsidR="00DC0FD1">
        <w:rPr>
          <w:rFonts w:ascii="Calibri" w:hAnsi="Calibri"/>
          <w:color w:val="000000"/>
        </w:rPr>
        <w:t xml:space="preserve">for this </w:t>
      </w:r>
      <w:r w:rsidR="003730D4">
        <w:rPr>
          <w:rFonts w:ascii="Calibri" w:hAnsi="Calibri"/>
          <w:color w:val="000000"/>
        </w:rPr>
        <w:t xml:space="preserve">in Bahrain and Saudi Arabia. </w:t>
      </w:r>
      <w:r w:rsidR="00233409">
        <w:rPr>
          <w:rFonts w:ascii="Calibri" w:hAnsi="Calibri"/>
          <w:color w:val="000000"/>
        </w:rPr>
        <w:t xml:space="preserve">Al-Khazali </w:t>
      </w:r>
      <w:r w:rsidR="00E1141E" w:rsidRPr="00E1141E">
        <w:rPr>
          <w:rFonts w:ascii="Calibri" w:hAnsi="Calibri"/>
          <w:i/>
          <w:color w:val="000000"/>
        </w:rPr>
        <w:t>et al.</w:t>
      </w:r>
      <w:r w:rsidR="00233409">
        <w:rPr>
          <w:rFonts w:ascii="Calibri" w:hAnsi="Calibri"/>
          <w:color w:val="000000"/>
        </w:rPr>
        <w:t xml:space="preserve"> (2007) </w:t>
      </w:r>
      <w:r w:rsidR="00DC0FD1">
        <w:rPr>
          <w:rFonts w:ascii="Calibri" w:hAnsi="Calibri"/>
          <w:color w:val="000000"/>
        </w:rPr>
        <w:t>used</w:t>
      </w:r>
      <w:r w:rsidR="00233409">
        <w:rPr>
          <w:rFonts w:ascii="Calibri" w:hAnsi="Calibri"/>
          <w:color w:val="000000"/>
        </w:rPr>
        <w:t xml:space="preserve"> variance ratio tests on raw data </w:t>
      </w:r>
      <w:r w:rsidR="00DC0FD1">
        <w:rPr>
          <w:rFonts w:ascii="Calibri" w:hAnsi="Calibri"/>
          <w:color w:val="000000"/>
        </w:rPr>
        <w:t xml:space="preserve">to show </w:t>
      </w:r>
      <w:r w:rsidR="00233409">
        <w:rPr>
          <w:rFonts w:ascii="Calibri" w:hAnsi="Calibri"/>
          <w:color w:val="000000"/>
        </w:rPr>
        <w:t xml:space="preserve">that </w:t>
      </w:r>
      <w:r w:rsidR="00D54F9B">
        <w:rPr>
          <w:rFonts w:ascii="Calibri" w:hAnsi="Calibri"/>
          <w:color w:val="000000"/>
        </w:rPr>
        <w:t xml:space="preserve">the hypothesis of random walk is rejected for </w:t>
      </w:r>
      <w:r w:rsidR="00233409">
        <w:rPr>
          <w:rFonts w:ascii="Calibri" w:hAnsi="Calibri"/>
          <w:color w:val="000000"/>
        </w:rPr>
        <w:t>Bahrain, Kuwait, Oman, Saudi Arabia</w:t>
      </w:r>
      <w:r w:rsidR="006071B4">
        <w:rPr>
          <w:rFonts w:ascii="Calibri" w:hAnsi="Calibri"/>
          <w:color w:val="000000"/>
        </w:rPr>
        <w:t xml:space="preserve"> and </w:t>
      </w:r>
      <w:r w:rsidR="00D54F9B">
        <w:rPr>
          <w:rFonts w:ascii="Calibri" w:hAnsi="Calibri"/>
          <w:color w:val="000000"/>
        </w:rPr>
        <w:t xml:space="preserve">four </w:t>
      </w:r>
      <w:r w:rsidR="00DC0FD1">
        <w:rPr>
          <w:rFonts w:ascii="Calibri" w:hAnsi="Calibri"/>
          <w:color w:val="000000"/>
        </w:rPr>
        <w:t xml:space="preserve">other </w:t>
      </w:r>
      <w:r w:rsidR="00D54F9B">
        <w:rPr>
          <w:rFonts w:ascii="Calibri" w:hAnsi="Calibri"/>
          <w:color w:val="000000"/>
        </w:rPr>
        <w:t xml:space="preserve">MENA countries that are not part of the GCC. </w:t>
      </w:r>
      <w:r w:rsidR="006071B4">
        <w:rPr>
          <w:rFonts w:ascii="Calibri" w:hAnsi="Calibri"/>
          <w:color w:val="000000"/>
        </w:rPr>
        <w:t>Earlier works</w:t>
      </w:r>
      <w:r w:rsidR="00D54F9B">
        <w:rPr>
          <w:rFonts w:ascii="Calibri" w:hAnsi="Calibri"/>
          <w:color w:val="000000"/>
        </w:rPr>
        <w:t xml:space="preserve"> by Rao and Shankaraiah (2003), Sharma (2005), </w:t>
      </w:r>
      <w:r w:rsidR="00DC0FD1">
        <w:rPr>
          <w:rFonts w:ascii="Calibri" w:hAnsi="Calibri"/>
          <w:color w:val="000000"/>
        </w:rPr>
        <w:t xml:space="preserve">and </w:t>
      </w:r>
      <w:r w:rsidR="00D54F9B">
        <w:rPr>
          <w:rFonts w:ascii="Calibri" w:hAnsi="Calibri"/>
          <w:color w:val="000000"/>
        </w:rPr>
        <w:t>Elango and Hussein (2008)</w:t>
      </w:r>
      <w:r w:rsidR="006071B4">
        <w:rPr>
          <w:rFonts w:ascii="Calibri" w:hAnsi="Calibri"/>
          <w:color w:val="000000"/>
        </w:rPr>
        <w:t xml:space="preserve"> produced similar results. Ble</w:t>
      </w:r>
      <w:r w:rsidR="006720AC">
        <w:rPr>
          <w:rFonts w:ascii="Calibri" w:hAnsi="Calibri"/>
          <w:color w:val="000000"/>
        </w:rPr>
        <w:t>y (2011), however, investigate</w:t>
      </w:r>
      <w:r w:rsidR="00DC0FD1">
        <w:rPr>
          <w:rFonts w:ascii="Calibri" w:hAnsi="Calibri"/>
          <w:color w:val="000000"/>
        </w:rPr>
        <w:t>d</w:t>
      </w:r>
      <w:r w:rsidR="006071B4">
        <w:rPr>
          <w:rFonts w:ascii="Calibri" w:hAnsi="Calibri"/>
          <w:color w:val="000000"/>
        </w:rPr>
        <w:t xml:space="preserve"> weak-form efficiency</w:t>
      </w:r>
      <w:r w:rsidR="006720AC">
        <w:rPr>
          <w:rFonts w:ascii="Calibri" w:hAnsi="Calibri"/>
          <w:color w:val="000000"/>
        </w:rPr>
        <w:t xml:space="preserve"> in GCC stock markets using daily, weekly and monthly data over the period 2000</w:t>
      </w:r>
      <w:r w:rsidR="00DC0FD1">
        <w:rPr>
          <w:rFonts w:ascii="Calibri" w:hAnsi="Calibri"/>
          <w:color w:val="000000"/>
        </w:rPr>
        <w:t>–</w:t>
      </w:r>
      <w:r w:rsidR="006720AC">
        <w:rPr>
          <w:rFonts w:ascii="Calibri" w:hAnsi="Calibri"/>
          <w:color w:val="000000"/>
        </w:rPr>
        <w:t>2009</w:t>
      </w:r>
      <w:r w:rsidR="006071B4">
        <w:rPr>
          <w:rFonts w:ascii="Calibri" w:hAnsi="Calibri"/>
          <w:color w:val="000000"/>
        </w:rPr>
        <w:t xml:space="preserve"> </w:t>
      </w:r>
      <w:r w:rsidR="006720AC">
        <w:rPr>
          <w:rFonts w:ascii="Calibri" w:hAnsi="Calibri"/>
          <w:color w:val="000000"/>
        </w:rPr>
        <w:t>and f</w:t>
      </w:r>
      <w:r w:rsidR="00DC0FD1">
        <w:rPr>
          <w:rFonts w:ascii="Calibri" w:hAnsi="Calibri"/>
          <w:color w:val="000000"/>
        </w:rPr>
        <w:t>ou</w:t>
      </w:r>
      <w:r w:rsidR="006720AC">
        <w:rPr>
          <w:rFonts w:ascii="Calibri" w:hAnsi="Calibri"/>
          <w:color w:val="000000"/>
        </w:rPr>
        <w:t xml:space="preserve">nd that rejection of </w:t>
      </w:r>
      <w:r w:rsidR="00DC0FD1">
        <w:rPr>
          <w:rFonts w:ascii="Calibri" w:hAnsi="Calibri"/>
          <w:color w:val="000000"/>
        </w:rPr>
        <w:t xml:space="preserve">the </w:t>
      </w:r>
      <w:r w:rsidR="006720AC">
        <w:rPr>
          <w:rFonts w:ascii="Calibri" w:hAnsi="Calibri"/>
          <w:color w:val="000000"/>
        </w:rPr>
        <w:t>random walk hypothesis depends on the frequency of the data used. Results differ across markets for weekly and monthly data</w:t>
      </w:r>
      <w:r w:rsidR="00DC0FD1">
        <w:rPr>
          <w:rFonts w:ascii="Calibri" w:hAnsi="Calibri"/>
          <w:color w:val="000000"/>
        </w:rPr>
        <w:t>,</w:t>
      </w:r>
      <w:r w:rsidR="006720AC">
        <w:rPr>
          <w:rFonts w:ascii="Calibri" w:hAnsi="Calibri"/>
          <w:color w:val="000000"/>
        </w:rPr>
        <w:t xml:space="preserve"> while </w:t>
      </w:r>
      <w:r w:rsidR="00B3165F">
        <w:rPr>
          <w:rFonts w:ascii="Calibri" w:hAnsi="Calibri"/>
          <w:color w:val="000000"/>
        </w:rPr>
        <w:t>daily data show a clear tendency towards rejection of the random walk hypothesis.</w:t>
      </w:r>
      <w:r w:rsidR="006720AC">
        <w:rPr>
          <w:rFonts w:ascii="Calibri" w:hAnsi="Calibri"/>
          <w:color w:val="000000"/>
        </w:rPr>
        <w:t xml:space="preserve">  </w:t>
      </w:r>
      <w:r w:rsidR="00233409">
        <w:rPr>
          <w:rFonts w:ascii="Calibri" w:hAnsi="Calibri"/>
          <w:color w:val="000000"/>
        </w:rPr>
        <w:t xml:space="preserve"> </w:t>
      </w:r>
      <w:r w:rsidR="003730D4">
        <w:rPr>
          <w:rFonts w:ascii="Calibri" w:hAnsi="Calibri"/>
          <w:color w:val="000000"/>
        </w:rPr>
        <w:t xml:space="preserve"> </w:t>
      </w:r>
    </w:p>
    <w:p w:rsidR="009C1ED7" w:rsidRPr="009C1ED7" w:rsidRDefault="00D76AFB" w:rsidP="009C1ED7">
      <w:pPr>
        <w:rPr>
          <w:rFonts w:ascii="Calibri" w:hAnsi="Calibri"/>
          <w:color w:val="000000"/>
        </w:rPr>
      </w:pPr>
      <w:r>
        <w:rPr>
          <w:rFonts w:ascii="Calibri" w:hAnsi="Calibri"/>
          <w:color w:val="000000"/>
        </w:rPr>
        <w:t>Research on the linkages between oil price</w:t>
      </w:r>
      <w:r w:rsidR="00DC0FD1">
        <w:rPr>
          <w:rFonts w:ascii="Calibri" w:hAnsi="Calibri"/>
          <w:color w:val="000000"/>
        </w:rPr>
        <w:t>s</w:t>
      </w:r>
      <w:r>
        <w:rPr>
          <w:rFonts w:ascii="Calibri" w:hAnsi="Calibri"/>
          <w:color w:val="000000"/>
        </w:rPr>
        <w:t xml:space="preserve"> and stock market prices</w:t>
      </w:r>
      <w:r w:rsidR="00765C21">
        <w:rPr>
          <w:rFonts w:ascii="Calibri" w:hAnsi="Calibri"/>
          <w:color w:val="000000"/>
        </w:rPr>
        <w:t xml:space="preserve"> for the GCC countries</w:t>
      </w:r>
      <w:r>
        <w:rPr>
          <w:rFonts w:ascii="Calibri" w:hAnsi="Calibri"/>
          <w:color w:val="000000"/>
        </w:rPr>
        <w:t xml:space="preserve"> has </w:t>
      </w:r>
      <w:r w:rsidR="00DC0FD1">
        <w:rPr>
          <w:rFonts w:ascii="Calibri" w:hAnsi="Calibri"/>
          <w:color w:val="000000"/>
        </w:rPr>
        <w:t xml:space="preserve">gained </w:t>
      </w:r>
      <w:r w:rsidR="00765C21">
        <w:rPr>
          <w:rFonts w:ascii="Calibri" w:hAnsi="Calibri"/>
          <w:color w:val="000000"/>
        </w:rPr>
        <w:t xml:space="preserve">impetus following early contributions by Jones and Kaul (1996), Huang </w:t>
      </w:r>
      <w:r w:rsidR="00E1141E" w:rsidRPr="00E1141E">
        <w:rPr>
          <w:rFonts w:ascii="Calibri" w:hAnsi="Calibri"/>
          <w:i/>
          <w:color w:val="000000"/>
        </w:rPr>
        <w:t>et al.</w:t>
      </w:r>
      <w:r w:rsidR="00765C21">
        <w:rPr>
          <w:rFonts w:ascii="Calibri" w:hAnsi="Calibri"/>
          <w:color w:val="000000"/>
        </w:rPr>
        <w:t xml:space="preserve"> (1996), Sadorsky (1999) and El-Sharif </w:t>
      </w:r>
      <w:r w:rsidR="00E1141E" w:rsidRPr="00E1141E">
        <w:rPr>
          <w:rFonts w:ascii="Calibri" w:hAnsi="Calibri"/>
          <w:i/>
          <w:color w:val="000000"/>
        </w:rPr>
        <w:t>et al.</w:t>
      </w:r>
      <w:r w:rsidR="00765C21">
        <w:rPr>
          <w:rFonts w:ascii="Calibri" w:hAnsi="Calibri"/>
          <w:color w:val="000000"/>
        </w:rPr>
        <w:t xml:space="preserve"> (2005) for the major stock markets</w:t>
      </w:r>
      <w:r w:rsidR="00DC0FD1">
        <w:rPr>
          <w:rFonts w:ascii="Calibri" w:hAnsi="Calibri"/>
          <w:color w:val="000000"/>
        </w:rPr>
        <w:t>;</w:t>
      </w:r>
      <w:r w:rsidR="00F246D0">
        <w:rPr>
          <w:rFonts w:ascii="Calibri" w:hAnsi="Calibri"/>
          <w:color w:val="000000"/>
        </w:rPr>
        <w:t xml:space="preserve"> and</w:t>
      </w:r>
      <w:r w:rsidR="00F246D0" w:rsidRPr="00F246D0">
        <w:rPr>
          <w:rFonts w:ascii="Calibri" w:hAnsi="Calibri"/>
          <w:color w:val="000000"/>
        </w:rPr>
        <w:t xml:space="preserve"> </w:t>
      </w:r>
      <w:r w:rsidR="00F246D0">
        <w:rPr>
          <w:rFonts w:ascii="Calibri" w:hAnsi="Calibri"/>
          <w:color w:val="000000"/>
        </w:rPr>
        <w:t>Papapetrou (2001)</w:t>
      </w:r>
      <w:r w:rsidR="00DC0FD1">
        <w:rPr>
          <w:rFonts w:ascii="Calibri" w:hAnsi="Calibri"/>
          <w:color w:val="000000"/>
        </w:rPr>
        <w:t>,</w:t>
      </w:r>
      <w:r w:rsidR="00F246D0">
        <w:rPr>
          <w:rFonts w:ascii="Calibri" w:hAnsi="Calibri"/>
          <w:color w:val="000000"/>
        </w:rPr>
        <w:t xml:space="preserve"> and Basher and Sadorsky (2006) for emerging markets.</w:t>
      </w:r>
      <w:r w:rsidR="00DA38C8">
        <w:rPr>
          <w:rStyle w:val="FootnoteReference"/>
          <w:rFonts w:ascii="Calibri" w:hAnsi="Calibri"/>
          <w:color w:val="000000"/>
        </w:rPr>
        <w:footnoteReference w:id="3"/>
      </w:r>
      <w:r w:rsidR="00F246D0">
        <w:rPr>
          <w:rFonts w:ascii="Calibri" w:hAnsi="Calibri"/>
          <w:color w:val="000000"/>
        </w:rPr>
        <w:t xml:space="preserve"> </w:t>
      </w:r>
      <w:r w:rsidR="00281A9E">
        <w:rPr>
          <w:rFonts w:ascii="Calibri" w:hAnsi="Calibri"/>
          <w:color w:val="000000"/>
        </w:rPr>
        <w:t>For</w:t>
      </w:r>
      <w:r w:rsidR="00F246D0">
        <w:rPr>
          <w:rFonts w:ascii="Calibri" w:hAnsi="Calibri"/>
          <w:color w:val="000000"/>
        </w:rPr>
        <w:t xml:space="preserve"> example</w:t>
      </w:r>
      <w:r w:rsidR="00281A9E">
        <w:rPr>
          <w:rFonts w:ascii="Calibri" w:hAnsi="Calibri"/>
          <w:color w:val="000000"/>
        </w:rPr>
        <w:t xml:space="preserve">, </w:t>
      </w:r>
      <w:r w:rsidR="008D4DE6">
        <w:rPr>
          <w:rFonts w:ascii="Calibri" w:hAnsi="Calibri"/>
          <w:color w:val="000000"/>
        </w:rPr>
        <w:t>Hammoudeh and Aleisa (2004) use</w:t>
      </w:r>
      <w:r w:rsidR="00DC0FD1">
        <w:rPr>
          <w:rFonts w:ascii="Calibri" w:hAnsi="Calibri"/>
          <w:color w:val="000000"/>
        </w:rPr>
        <w:t>d</w:t>
      </w:r>
      <w:r w:rsidR="008D4DE6">
        <w:rPr>
          <w:rFonts w:ascii="Calibri" w:hAnsi="Calibri"/>
          <w:color w:val="000000"/>
        </w:rPr>
        <w:t xml:space="preserve"> the Johansen cointegration technique and</w:t>
      </w:r>
      <w:r w:rsidR="00635FE8">
        <w:rPr>
          <w:rFonts w:ascii="Calibri" w:hAnsi="Calibri"/>
          <w:color w:val="000000"/>
        </w:rPr>
        <w:t xml:space="preserve"> daily data and</w:t>
      </w:r>
      <w:r w:rsidR="008D4DE6">
        <w:rPr>
          <w:rFonts w:ascii="Calibri" w:hAnsi="Calibri"/>
          <w:color w:val="000000"/>
        </w:rPr>
        <w:t xml:space="preserve"> f</w:t>
      </w:r>
      <w:r w:rsidR="00DC0FD1">
        <w:rPr>
          <w:rFonts w:ascii="Calibri" w:hAnsi="Calibri"/>
          <w:color w:val="000000"/>
        </w:rPr>
        <w:t>ou</w:t>
      </w:r>
      <w:r w:rsidR="008D4DE6">
        <w:rPr>
          <w:rFonts w:ascii="Calibri" w:hAnsi="Calibri"/>
          <w:color w:val="000000"/>
        </w:rPr>
        <w:t xml:space="preserve">nd that oil future prices can help forecast stock market returns for Saudi Arabia only. </w:t>
      </w:r>
      <w:r w:rsidR="00DF53A2">
        <w:rPr>
          <w:rFonts w:ascii="Calibri" w:hAnsi="Calibri"/>
          <w:color w:val="000000"/>
        </w:rPr>
        <w:t>Abu</w:t>
      </w:r>
      <w:r w:rsidR="00713767">
        <w:rPr>
          <w:rFonts w:ascii="Calibri" w:hAnsi="Calibri"/>
          <w:color w:val="000000"/>
        </w:rPr>
        <w:t xml:space="preserve"> Zarour (2006) use</w:t>
      </w:r>
      <w:r w:rsidR="00DC0FD1">
        <w:rPr>
          <w:rFonts w:ascii="Calibri" w:hAnsi="Calibri"/>
          <w:color w:val="000000"/>
        </w:rPr>
        <w:t>d</w:t>
      </w:r>
      <w:r w:rsidR="002111D5">
        <w:rPr>
          <w:rFonts w:ascii="Calibri" w:hAnsi="Calibri"/>
          <w:color w:val="000000"/>
        </w:rPr>
        <w:t xml:space="preserve"> the </w:t>
      </w:r>
      <w:r w:rsidR="00281A9E">
        <w:rPr>
          <w:rFonts w:ascii="Calibri" w:hAnsi="Calibri"/>
          <w:color w:val="000000"/>
        </w:rPr>
        <w:t xml:space="preserve">vector autoregression (VAR) technique </w:t>
      </w:r>
      <w:r w:rsidR="000C3D8B">
        <w:rPr>
          <w:rFonts w:ascii="Calibri" w:hAnsi="Calibri"/>
          <w:color w:val="000000"/>
        </w:rPr>
        <w:t>and conclude</w:t>
      </w:r>
      <w:r w:rsidR="00DC0FD1">
        <w:rPr>
          <w:rFonts w:ascii="Calibri" w:hAnsi="Calibri"/>
          <w:color w:val="000000"/>
        </w:rPr>
        <w:t>d</w:t>
      </w:r>
      <w:r w:rsidR="000C3D8B">
        <w:rPr>
          <w:rFonts w:ascii="Calibri" w:hAnsi="Calibri"/>
          <w:color w:val="000000"/>
        </w:rPr>
        <w:t xml:space="preserve"> that only </w:t>
      </w:r>
      <w:r w:rsidR="00DC0FD1">
        <w:rPr>
          <w:rFonts w:ascii="Calibri" w:hAnsi="Calibri"/>
          <w:color w:val="000000"/>
        </w:rPr>
        <w:t xml:space="preserve">the </w:t>
      </w:r>
      <w:r w:rsidR="000C3D8B">
        <w:rPr>
          <w:rFonts w:ascii="Calibri" w:hAnsi="Calibri"/>
          <w:color w:val="000000"/>
        </w:rPr>
        <w:t>Saudi Arabia and Oman stock markets can be predicted with oil price innovations</w:t>
      </w:r>
      <w:r w:rsidR="00713767">
        <w:rPr>
          <w:rFonts w:ascii="Calibri" w:hAnsi="Calibri"/>
          <w:color w:val="000000"/>
        </w:rPr>
        <w:t xml:space="preserve">. </w:t>
      </w:r>
      <w:r w:rsidR="00D8359E">
        <w:rPr>
          <w:rFonts w:ascii="Calibri" w:hAnsi="Calibri"/>
          <w:color w:val="000000"/>
        </w:rPr>
        <w:t xml:space="preserve">Hamoudeh and Choi (2006) </w:t>
      </w:r>
      <w:r w:rsidR="009C1ED7">
        <w:rPr>
          <w:rFonts w:ascii="Calibri" w:hAnsi="Calibri"/>
          <w:color w:val="000000"/>
        </w:rPr>
        <w:t>use</w:t>
      </w:r>
      <w:r w:rsidR="00DC0FD1">
        <w:rPr>
          <w:rFonts w:ascii="Calibri" w:hAnsi="Calibri"/>
          <w:color w:val="000000"/>
        </w:rPr>
        <w:t>d</w:t>
      </w:r>
      <w:r w:rsidR="009C1ED7">
        <w:rPr>
          <w:rFonts w:ascii="Calibri" w:hAnsi="Calibri"/>
          <w:color w:val="000000"/>
        </w:rPr>
        <w:t xml:space="preserve"> a</w:t>
      </w:r>
      <w:r w:rsidR="009C1ED7" w:rsidRPr="009C1ED7">
        <w:rPr>
          <w:rFonts w:ascii="Times New Roman" w:hAnsi="Times New Roman" w:cs="Times New Roman"/>
          <w:sz w:val="18"/>
          <w:szCs w:val="18"/>
        </w:rPr>
        <w:t xml:space="preserve"> </w:t>
      </w:r>
      <w:r w:rsidR="009C1ED7" w:rsidRPr="009C1ED7">
        <w:rPr>
          <w:rFonts w:ascii="Calibri" w:hAnsi="Calibri"/>
          <w:color w:val="000000"/>
        </w:rPr>
        <w:t>vecto</w:t>
      </w:r>
      <w:r w:rsidR="009C1ED7">
        <w:rPr>
          <w:rFonts w:ascii="Calibri" w:hAnsi="Calibri"/>
          <w:color w:val="000000"/>
        </w:rPr>
        <w:t xml:space="preserve">r-error correction (VEC) model to investigate </w:t>
      </w:r>
      <w:r w:rsidR="009C1ED7" w:rsidRPr="009C1ED7">
        <w:rPr>
          <w:rFonts w:ascii="Calibri" w:hAnsi="Calibri"/>
          <w:color w:val="000000"/>
        </w:rPr>
        <w:t>the short-run bilateral causal relationships among</w:t>
      </w:r>
      <w:r w:rsidR="009C1ED7">
        <w:rPr>
          <w:rFonts w:ascii="Calibri" w:hAnsi="Calibri"/>
          <w:color w:val="000000"/>
        </w:rPr>
        <w:t xml:space="preserve"> </w:t>
      </w:r>
      <w:r w:rsidR="00DC0FD1">
        <w:rPr>
          <w:rFonts w:ascii="Calibri" w:hAnsi="Calibri"/>
          <w:color w:val="000000"/>
        </w:rPr>
        <w:t xml:space="preserve">the </w:t>
      </w:r>
      <w:r w:rsidR="009C1ED7">
        <w:rPr>
          <w:rFonts w:ascii="Calibri" w:hAnsi="Calibri"/>
          <w:color w:val="000000"/>
        </w:rPr>
        <w:t>GCC</w:t>
      </w:r>
      <w:r w:rsidR="009C1ED7" w:rsidRPr="009C1ED7">
        <w:rPr>
          <w:rFonts w:ascii="Calibri" w:hAnsi="Calibri"/>
          <w:color w:val="000000"/>
        </w:rPr>
        <w:t xml:space="preserve"> weekly </w:t>
      </w:r>
      <w:r w:rsidR="00674202">
        <w:rPr>
          <w:rFonts w:ascii="Calibri" w:hAnsi="Calibri"/>
          <w:color w:val="000000"/>
        </w:rPr>
        <w:t>stock</w:t>
      </w:r>
      <w:r w:rsidR="009C1ED7" w:rsidRPr="009C1ED7">
        <w:rPr>
          <w:rFonts w:ascii="Calibri" w:hAnsi="Calibri"/>
          <w:color w:val="000000"/>
        </w:rPr>
        <w:t xml:space="preserve"> index returns </w:t>
      </w:r>
      <w:r w:rsidR="009C1ED7">
        <w:rPr>
          <w:rFonts w:ascii="Calibri" w:hAnsi="Calibri"/>
          <w:color w:val="000000"/>
        </w:rPr>
        <w:t>and their relationships with oil price</w:t>
      </w:r>
      <w:r w:rsidR="00DC0FD1">
        <w:rPr>
          <w:rFonts w:ascii="Calibri" w:hAnsi="Calibri"/>
          <w:color w:val="000000"/>
        </w:rPr>
        <w:t>s,</w:t>
      </w:r>
      <w:r w:rsidR="009C1ED7">
        <w:rPr>
          <w:rFonts w:ascii="Calibri" w:hAnsi="Calibri"/>
          <w:color w:val="000000"/>
        </w:rPr>
        <w:t xml:space="preserve"> among other factors. They f</w:t>
      </w:r>
      <w:r w:rsidR="00DC0FD1">
        <w:rPr>
          <w:rFonts w:ascii="Calibri" w:hAnsi="Calibri"/>
          <w:color w:val="000000"/>
        </w:rPr>
        <w:t>ou</w:t>
      </w:r>
      <w:r w:rsidR="009C1ED7">
        <w:rPr>
          <w:rFonts w:ascii="Calibri" w:hAnsi="Calibri"/>
          <w:color w:val="000000"/>
        </w:rPr>
        <w:t>nd no direct impact of oil prices on these markets. Maghyereh and Al-Kandari (2007)</w:t>
      </w:r>
      <w:r w:rsidR="00DC0FD1">
        <w:rPr>
          <w:rFonts w:ascii="Calibri" w:hAnsi="Calibri"/>
          <w:color w:val="000000"/>
        </w:rPr>
        <w:t>,</w:t>
      </w:r>
      <w:r w:rsidR="009C1ED7">
        <w:rPr>
          <w:rFonts w:ascii="Calibri" w:hAnsi="Calibri"/>
          <w:color w:val="000000"/>
        </w:rPr>
        <w:t xml:space="preserve"> by contrast</w:t>
      </w:r>
      <w:r w:rsidR="00DC0FD1">
        <w:rPr>
          <w:rFonts w:ascii="Calibri" w:hAnsi="Calibri"/>
          <w:color w:val="000000"/>
        </w:rPr>
        <w:t>,</w:t>
      </w:r>
      <w:r w:rsidR="009C1ED7">
        <w:rPr>
          <w:rFonts w:ascii="Calibri" w:hAnsi="Calibri"/>
          <w:color w:val="000000"/>
        </w:rPr>
        <w:t xml:space="preserve"> </w:t>
      </w:r>
      <w:r w:rsidR="003A130D">
        <w:rPr>
          <w:rFonts w:ascii="Calibri" w:hAnsi="Calibri"/>
          <w:color w:val="000000"/>
        </w:rPr>
        <w:t>f</w:t>
      </w:r>
      <w:r w:rsidR="00DC0FD1">
        <w:rPr>
          <w:rFonts w:ascii="Calibri" w:hAnsi="Calibri"/>
          <w:color w:val="000000"/>
        </w:rPr>
        <w:t>ou</w:t>
      </w:r>
      <w:r w:rsidR="003A130D">
        <w:rPr>
          <w:rFonts w:ascii="Calibri" w:hAnsi="Calibri"/>
          <w:color w:val="000000"/>
        </w:rPr>
        <w:t xml:space="preserve">nd </w:t>
      </w:r>
      <w:r w:rsidR="00DC0FD1">
        <w:rPr>
          <w:rFonts w:ascii="Calibri" w:hAnsi="Calibri"/>
          <w:color w:val="000000"/>
        </w:rPr>
        <w:t xml:space="preserve">that the </w:t>
      </w:r>
      <w:r w:rsidR="003A130D">
        <w:rPr>
          <w:rFonts w:ascii="Calibri" w:hAnsi="Calibri"/>
          <w:color w:val="000000"/>
        </w:rPr>
        <w:t xml:space="preserve">impacts of oil price changes on GCC stock prices </w:t>
      </w:r>
      <w:r w:rsidR="00DC0FD1">
        <w:rPr>
          <w:rFonts w:ascii="Calibri" w:hAnsi="Calibri"/>
          <w:color w:val="000000"/>
        </w:rPr>
        <w:t xml:space="preserve">were significant </w:t>
      </w:r>
      <w:r w:rsidR="003A130D">
        <w:rPr>
          <w:rFonts w:ascii="Calibri" w:hAnsi="Calibri"/>
          <w:color w:val="000000"/>
        </w:rPr>
        <w:t>over the long run.</w:t>
      </w:r>
    </w:p>
    <w:p w:rsidR="00E018FE" w:rsidRDefault="00F14833" w:rsidP="009C1ED7">
      <w:pPr>
        <w:rPr>
          <w:rFonts w:ascii="Calibri" w:hAnsi="Calibri"/>
          <w:color w:val="000000"/>
        </w:rPr>
      </w:pPr>
      <w:r>
        <w:rPr>
          <w:rFonts w:ascii="Calibri" w:hAnsi="Calibri"/>
          <w:color w:val="000000"/>
        </w:rPr>
        <w:t>Arouri and Fou</w:t>
      </w:r>
      <w:r w:rsidR="00713767">
        <w:rPr>
          <w:rFonts w:ascii="Calibri" w:hAnsi="Calibri"/>
          <w:color w:val="000000"/>
        </w:rPr>
        <w:t>quau (2009) investigate the relationship between oil prices and GCC stock markets</w:t>
      </w:r>
      <w:r w:rsidR="009D2BEE">
        <w:rPr>
          <w:rFonts w:ascii="Calibri" w:hAnsi="Calibri"/>
          <w:color w:val="000000"/>
        </w:rPr>
        <w:t xml:space="preserve"> using a non-parametric method. Their results show that </w:t>
      </w:r>
      <w:r w:rsidR="00674202">
        <w:rPr>
          <w:rFonts w:ascii="Calibri" w:hAnsi="Calibri"/>
          <w:color w:val="000000"/>
        </w:rPr>
        <w:t>stock</w:t>
      </w:r>
      <w:r w:rsidR="003903EA">
        <w:rPr>
          <w:rFonts w:ascii="Calibri" w:hAnsi="Calibri"/>
          <w:color w:val="000000"/>
        </w:rPr>
        <w:t xml:space="preserve"> markets in Qatar, Oman, and the UAE exhibit asymmetric and regime switching linkages with changes in oil price</w:t>
      </w:r>
      <w:r w:rsidR="00EB0806">
        <w:rPr>
          <w:rFonts w:ascii="Calibri" w:hAnsi="Calibri"/>
          <w:color w:val="000000"/>
        </w:rPr>
        <w:t>. Arouri</w:t>
      </w:r>
      <w:r w:rsidR="00C32C8F">
        <w:rPr>
          <w:rFonts w:ascii="Calibri" w:hAnsi="Calibri"/>
          <w:color w:val="000000"/>
        </w:rPr>
        <w:t xml:space="preserve"> </w:t>
      </w:r>
      <w:r w:rsidR="00E1141E" w:rsidRPr="00E1141E">
        <w:rPr>
          <w:rFonts w:ascii="Calibri" w:hAnsi="Calibri"/>
          <w:i/>
          <w:color w:val="000000"/>
        </w:rPr>
        <w:t>et al.</w:t>
      </w:r>
      <w:r w:rsidR="00E018FE">
        <w:rPr>
          <w:rFonts w:ascii="Calibri" w:hAnsi="Calibri"/>
          <w:color w:val="000000"/>
        </w:rPr>
        <w:t xml:space="preserve"> (2011) provide</w:t>
      </w:r>
      <w:r w:rsidR="00DC0FD1">
        <w:rPr>
          <w:rFonts w:ascii="Calibri" w:hAnsi="Calibri"/>
          <w:color w:val="000000"/>
        </w:rPr>
        <w:t>d</w:t>
      </w:r>
      <w:r w:rsidR="00E018FE">
        <w:rPr>
          <w:rFonts w:ascii="Calibri" w:hAnsi="Calibri"/>
          <w:color w:val="000000"/>
        </w:rPr>
        <w:t xml:space="preserve"> further evidence that </w:t>
      </w:r>
      <w:r w:rsidR="00DC0FD1">
        <w:rPr>
          <w:rFonts w:ascii="Calibri" w:hAnsi="Calibri"/>
          <w:color w:val="000000"/>
        </w:rPr>
        <w:t xml:space="preserve">the effects of </w:t>
      </w:r>
      <w:r w:rsidR="00E018FE">
        <w:rPr>
          <w:rFonts w:ascii="Calibri" w:hAnsi="Calibri"/>
          <w:color w:val="000000"/>
        </w:rPr>
        <w:t xml:space="preserve">oil price on GCC stock prices differ across member countries. </w:t>
      </w:r>
      <w:r w:rsidR="000B272C">
        <w:rPr>
          <w:rFonts w:ascii="Calibri" w:hAnsi="Calibri"/>
          <w:color w:val="000000"/>
        </w:rPr>
        <w:t>Arouri and Rault (2010) use</w:t>
      </w:r>
      <w:r w:rsidR="00DC0FD1">
        <w:rPr>
          <w:rFonts w:ascii="Calibri" w:hAnsi="Calibri"/>
          <w:color w:val="000000"/>
        </w:rPr>
        <w:t>d</w:t>
      </w:r>
      <w:r w:rsidR="000B272C">
        <w:rPr>
          <w:rFonts w:ascii="Calibri" w:hAnsi="Calibri"/>
          <w:color w:val="000000"/>
        </w:rPr>
        <w:t xml:space="preserve"> panel data analysis to study the sensitivity of GCC stock markets to oil prices. They show</w:t>
      </w:r>
      <w:r w:rsidR="00DC0FD1">
        <w:rPr>
          <w:rFonts w:ascii="Calibri" w:hAnsi="Calibri"/>
          <w:color w:val="000000"/>
        </w:rPr>
        <w:t>ed</w:t>
      </w:r>
      <w:r w:rsidR="000B272C">
        <w:rPr>
          <w:rFonts w:ascii="Calibri" w:hAnsi="Calibri"/>
          <w:color w:val="000000"/>
        </w:rPr>
        <w:t xml:space="preserve"> that the causal relationship is bidirectional for Saudi Arabia only</w:t>
      </w:r>
      <w:r w:rsidR="008B0A9C">
        <w:rPr>
          <w:rFonts w:ascii="Calibri" w:hAnsi="Calibri"/>
          <w:color w:val="000000"/>
        </w:rPr>
        <w:t xml:space="preserve"> when the data are either weekly or quarterly</w:t>
      </w:r>
      <w:r w:rsidR="000B272C">
        <w:rPr>
          <w:rFonts w:ascii="Calibri" w:hAnsi="Calibri"/>
          <w:color w:val="000000"/>
        </w:rPr>
        <w:t>. For other GCC countries,</w:t>
      </w:r>
      <w:r w:rsidR="00034A4C">
        <w:rPr>
          <w:rFonts w:ascii="Calibri" w:hAnsi="Calibri"/>
          <w:color w:val="000000"/>
        </w:rPr>
        <w:t xml:space="preserve"> however,</w:t>
      </w:r>
      <w:r w:rsidR="000B272C">
        <w:rPr>
          <w:rFonts w:ascii="Calibri" w:hAnsi="Calibri"/>
          <w:color w:val="000000"/>
        </w:rPr>
        <w:t xml:space="preserve"> </w:t>
      </w:r>
      <w:r w:rsidR="00034A4C">
        <w:rPr>
          <w:rFonts w:ascii="Calibri" w:hAnsi="Calibri"/>
          <w:color w:val="000000"/>
        </w:rPr>
        <w:t>they f</w:t>
      </w:r>
      <w:r w:rsidR="00DC0FD1">
        <w:rPr>
          <w:rFonts w:ascii="Calibri" w:hAnsi="Calibri"/>
          <w:color w:val="000000"/>
        </w:rPr>
        <w:t>ou</w:t>
      </w:r>
      <w:r w:rsidR="00034A4C">
        <w:rPr>
          <w:rFonts w:ascii="Calibri" w:hAnsi="Calibri"/>
          <w:color w:val="000000"/>
        </w:rPr>
        <w:t xml:space="preserve">nd strong statistical evidence that oil price disturbances </w:t>
      </w:r>
      <w:r w:rsidR="00C95ED6">
        <w:rPr>
          <w:rFonts w:ascii="Calibri" w:hAnsi="Calibri"/>
          <w:color w:val="000000"/>
        </w:rPr>
        <w:t xml:space="preserve">Granger </w:t>
      </w:r>
      <w:r w:rsidR="00034A4C">
        <w:rPr>
          <w:rFonts w:ascii="Calibri" w:hAnsi="Calibri"/>
          <w:color w:val="000000"/>
        </w:rPr>
        <w:t>cause stock price changes</w:t>
      </w:r>
      <w:r w:rsidR="008B0A9C">
        <w:rPr>
          <w:rFonts w:ascii="Calibri" w:hAnsi="Calibri"/>
          <w:color w:val="000000"/>
        </w:rPr>
        <w:t xml:space="preserve">. They therefore surmise that investors in </w:t>
      </w:r>
      <w:r w:rsidR="00DC0FD1">
        <w:rPr>
          <w:rFonts w:ascii="Calibri" w:hAnsi="Calibri"/>
          <w:color w:val="000000"/>
        </w:rPr>
        <w:t>the</w:t>
      </w:r>
      <w:r w:rsidR="005C2800">
        <w:rPr>
          <w:rFonts w:ascii="Calibri" w:hAnsi="Calibri"/>
          <w:color w:val="000000"/>
        </w:rPr>
        <w:t xml:space="preserve"> </w:t>
      </w:r>
      <w:r w:rsidR="008B0A9C">
        <w:rPr>
          <w:rFonts w:ascii="Calibri" w:hAnsi="Calibri"/>
          <w:color w:val="000000"/>
        </w:rPr>
        <w:t xml:space="preserve">GCC </w:t>
      </w:r>
      <w:r w:rsidR="008B0A9C">
        <w:rPr>
          <w:rFonts w:ascii="Calibri" w:hAnsi="Calibri"/>
          <w:color w:val="000000"/>
        </w:rPr>
        <w:lastRenderedPageBreak/>
        <w:t>stock markets should pay close attention to fluctuations in oil prices</w:t>
      </w:r>
      <w:r w:rsidR="005C2800">
        <w:rPr>
          <w:rFonts w:ascii="Calibri" w:hAnsi="Calibri"/>
          <w:color w:val="000000"/>
        </w:rPr>
        <w:t>,</w:t>
      </w:r>
      <w:r w:rsidR="008B0A9C">
        <w:rPr>
          <w:rFonts w:ascii="Calibri" w:hAnsi="Calibri"/>
          <w:color w:val="000000"/>
        </w:rPr>
        <w:t xml:space="preserve"> while investors in oil markets should follow the Saudi </w:t>
      </w:r>
      <w:r w:rsidR="005C2800">
        <w:rPr>
          <w:rFonts w:ascii="Calibri" w:hAnsi="Calibri"/>
          <w:color w:val="000000"/>
        </w:rPr>
        <w:t>s</w:t>
      </w:r>
      <w:r w:rsidR="008B0A9C">
        <w:rPr>
          <w:rFonts w:ascii="Calibri" w:hAnsi="Calibri"/>
          <w:color w:val="000000"/>
        </w:rPr>
        <w:t xml:space="preserve">tock market closely. </w:t>
      </w:r>
      <w:r w:rsidR="00317D20">
        <w:rPr>
          <w:rFonts w:ascii="Calibri" w:hAnsi="Calibri"/>
          <w:color w:val="000000"/>
        </w:rPr>
        <w:t>Fayyad and Daly (2011) consider</w:t>
      </w:r>
      <w:r w:rsidR="005C2800">
        <w:rPr>
          <w:rFonts w:ascii="Calibri" w:hAnsi="Calibri"/>
          <w:color w:val="000000"/>
        </w:rPr>
        <w:t>ed</w:t>
      </w:r>
      <w:r w:rsidR="00317D20">
        <w:rPr>
          <w:rFonts w:ascii="Calibri" w:hAnsi="Calibri"/>
          <w:color w:val="000000"/>
        </w:rPr>
        <w:t xml:space="preserve"> a VAR with </w:t>
      </w:r>
      <w:r w:rsidR="005C2800">
        <w:rPr>
          <w:rFonts w:ascii="Calibri" w:hAnsi="Calibri"/>
          <w:color w:val="000000"/>
        </w:rPr>
        <w:t xml:space="preserve">the </w:t>
      </w:r>
      <w:r w:rsidR="00317D20">
        <w:rPr>
          <w:rFonts w:ascii="Calibri" w:hAnsi="Calibri"/>
          <w:color w:val="000000"/>
        </w:rPr>
        <w:t xml:space="preserve">US, </w:t>
      </w:r>
      <w:r w:rsidR="005C2800">
        <w:rPr>
          <w:rFonts w:ascii="Calibri" w:hAnsi="Calibri"/>
          <w:color w:val="000000"/>
        </w:rPr>
        <w:t xml:space="preserve">the </w:t>
      </w:r>
      <w:r w:rsidR="00317D20">
        <w:rPr>
          <w:rFonts w:ascii="Calibri" w:hAnsi="Calibri"/>
          <w:color w:val="000000"/>
        </w:rPr>
        <w:t xml:space="preserve">UK and all GCC countries </w:t>
      </w:r>
      <w:r w:rsidR="005C2800">
        <w:rPr>
          <w:rFonts w:ascii="Calibri" w:hAnsi="Calibri"/>
          <w:color w:val="000000"/>
        </w:rPr>
        <w:t xml:space="preserve">except </w:t>
      </w:r>
      <w:r w:rsidR="00317D20">
        <w:rPr>
          <w:rFonts w:ascii="Calibri" w:hAnsi="Calibri"/>
          <w:color w:val="000000"/>
        </w:rPr>
        <w:t>Saudi Arabia to investigate the time varying nature of that relationship</w:t>
      </w:r>
      <w:r w:rsidR="003D12D3">
        <w:rPr>
          <w:rFonts w:ascii="Calibri" w:hAnsi="Calibri"/>
          <w:color w:val="000000"/>
        </w:rPr>
        <w:t xml:space="preserve">. Their results show that the </w:t>
      </w:r>
      <w:r w:rsidR="00317D20">
        <w:rPr>
          <w:rFonts w:ascii="Calibri" w:hAnsi="Calibri"/>
          <w:color w:val="000000"/>
        </w:rPr>
        <w:t>sensitivity of</w:t>
      </w:r>
      <w:r w:rsidR="003D12D3">
        <w:rPr>
          <w:rFonts w:ascii="Calibri" w:hAnsi="Calibri"/>
          <w:color w:val="000000"/>
        </w:rPr>
        <w:t xml:space="preserve"> GCC</w:t>
      </w:r>
      <w:r w:rsidR="00317D20">
        <w:rPr>
          <w:rFonts w:ascii="Calibri" w:hAnsi="Calibri"/>
          <w:color w:val="000000"/>
        </w:rPr>
        <w:t xml:space="preserve"> stock returns to oil price increases due to a rise in the price of oil</w:t>
      </w:r>
      <w:r w:rsidR="003D12D3">
        <w:rPr>
          <w:rFonts w:ascii="Calibri" w:hAnsi="Calibri"/>
          <w:color w:val="000000"/>
        </w:rPr>
        <w:t xml:space="preserve"> and </w:t>
      </w:r>
      <w:r w:rsidR="005C2800">
        <w:rPr>
          <w:rFonts w:ascii="Calibri" w:hAnsi="Calibri"/>
          <w:color w:val="000000"/>
        </w:rPr>
        <w:t xml:space="preserve">increased </w:t>
      </w:r>
      <w:r w:rsidR="00317D20">
        <w:rPr>
          <w:rFonts w:ascii="Calibri" w:hAnsi="Calibri"/>
          <w:color w:val="000000"/>
        </w:rPr>
        <w:t>during the recent global financial crises</w:t>
      </w:r>
      <w:r w:rsidR="003D12D3">
        <w:rPr>
          <w:rFonts w:ascii="Calibri" w:hAnsi="Calibri"/>
          <w:color w:val="000000"/>
        </w:rPr>
        <w:t>. They also f</w:t>
      </w:r>
      <w:r w:rsidR="005C2800">
        <w:rPr>
          <w:rFonts w:ascii="Calibri" w:hAnsi="Calibri"/>
          <w:color w:val="000000"/>
        </w:rPr>
        <w:t>ou</w:t>
      </w:r>
      <w:r w:rsidR="003D12D3">
        <w:rPr>
          <w:rFonts w:ascii="Calibri" w:hAnsi="Calibri"/>
          <w:color w:val="000000"/>
        </w:rPr>
        <w:t xml:space="preserve">nd that </w:t>
      </w:r>
      <w:r w:rsidR="005C2800">
        <w:rPr>
          <w:rFonts w:ascii="Calibri" w:hAnsi="Calibri"/>
          <w:color w:val="000000"/>
        </w:rPr>
        <w:t xml:space="preserve">of all the stock markets, </w:t>
      </w:r>
      <w:r w:rsidR="003D12D3">
        <w:rPr>
          <w:rFonts w:ascii="Calibri" w:hAnsi="Calibri"/>
          <w:color w:val="000000"/>
        </w:rPr>
        <w:t xml:space="preserve">Qatar and the </w:t>
      </w:r>
      <w:r w:rsidR="005C2800">
        <w:rPr>
          <w:rFonts w:ascii="Calibri" w:hAnsi="Calibri"/>
          <w:color w:val="000000"/>
        </w:rPr>
        <w:t>United Arab Emirates (</w:t>
      </w:r>
      <w:r w:rsidR="003D12D3">
        <w:rPr>
          <w:rFonts w:ascii="Calibri" w:hAnsi="Calibri"/>
          <w:color w:val="000000"/>
        </w:rPr>
        <w:t>UAE</w:t>
      </w:r>
      <w:r w:rsidR="005C2800">
        <w:rPr>
          <w:rFonts w:ascii="Calibri" w:hAnsi="Calibri"/>
          <w:color w:val="000000"/>
        </w:rPr>
        <w:t>)</w:t>
      </w:r>
      <w:r w:rsidR="003D12D3">
        <w:rPr>
          <w:rFonts w:ascii="Calibri" w:hAnsi="Calibri"/>
          <w:color w:val="000000"/>
        </w:rPr>
        <w:t xml:space="preserve"> stock returns are the most responsive to </w:t>
      </w:r>
      <w:r w:rsidR="00B231AA">
        <w:rPr>
          <w:rFonts w:ascii="Calibri" w:hAnsi="Calibri"/>
          <w:color w:val="000000"/>
        </w:rPr>
        <w:t>oil shocks</w:t>
      </w:r>
      <w:r w:rsidR="003D12D3">
        <w:rPr>
          <w:rFonts w:ascii="Calibri" w:hAnsi="Calibri"/>
          <w:color w:val="000000"/>
        </w:rPr>
        <w:t xml:space="preserve">. </w:t>
      </w:r>
      <w:r w:rsidR="00317D20">
        <w:rPr>
          <w:rFonts w:ascii="Calibri" w:hAnsi="Calibri"/>
          <w:color w:val="000000"/>
        </w:rPr>
        <w:t xml:space="preserve"> </w:t>
      </w:r>
    </w:p>
    <w:p w:rsidR="000464B7" w:rsidRDefault="000464B7" w:rsidP="00574F06">
      <w:pPr>
        <w:rPr>
          <w:rFonts w:ascii="Calibri" w:hAnsi="Calibri"/>
          <w:color w:val="000000"/>
        </w:rPr>
      </w:pPr>
      <w:r>
        <w:rPr>
          <w:rFonts w:ascii="Calibri" w:hAnsi="Calibri"/>
          <w:color w:val="000000"/>
        </w:rPr>
        <w:t>The</w:t>
      </w:r>
      <w:r w:rsidR="00D37A57">
        <w:rPr>
          <w:rFonts w:ascii="Calibri" w:hAnsi="Calibri"/>
          <w:color w:val="000000"/>
        </w:rPr>
        <w:t xml:space="preserve"> empirical literature</w:t>
      </w:r>
      <w:r w:rsidR="008B0A9C">
        <w:rPr>
          <w:rFonts w:ascii="Calibri" w:hAnsi="Calibri"/>
          <w:color w:val="000000"/>
        </w:rPr>
        <w:t xml:space="preserve"> on</w:t>
      </w:r>
      <w:r w:rsidR="00D37A57">
        <w:rPr>
          <w:rFonts w:ascii="Calibri" w:hAnsi="Calibri"/>
          <w:color w:val="000000"/>
        </w:rPr>
        <w:t xml:space="preserve"> the feedback effects</w:t>
      </w:r>
      <w:r w:rsidR="008B0A9C">
        <w:rPr>
          <w:rFonts w:ascii="Calibri" w:hAnsi="Calibri"/>
          <w:color w:val="000000"/>
        </w:rPr>
        <w:t xml:space="preserve"> between GCC stock markets</w:t>
      </w:r>
      <w:r w:rsidR="00D37A57">
        <w:rPr>
          <w:rFonts w:ascii="Calibri" w:hAnsi="Calibri"/>
          <w:color w:val="000000"/>
        </w:rPr>
        <w:t xml:space="preserve"> and oil markets has thus far been concentrated on the performance of national stock </w:t>
      </w:r>
      <w:r w:rsidR="00DC0FD1">
        <w:rPr>
          <w:rFonts w:ascii="Calibri" w:hAnsi="Calibri"/>
          <w:color w:val="000000"/>
        </w:rPr>
        <w:t>indices</w:t>
      </w:r>
      <w:r w:rsidR="00D37A57">
        <w:rPr>
          <w:rFonts w:ascii="Calibri" w:hAnsi="Calibri"/>
          <w:color w:val="000000"/>
        </w:rPr>
        <w:t>, which are weighted averages of s</w:t>
      </w:r>
      <w:r w:rsidR="00AD4FCC">
        <w:rPr>
          <w:rFonts w:ascii="Calibri" w:hAnsi="Calibri"/>
          <w:color w:val="000000"/>
        </w:rPr>
        <w:t xml:space="preserve">ectoral </w:t>
      </w:r>
      <w:r w:rsidR="00674202">
        <w:rPr>
          <w:rFonts w:ascii="Calibri" w:hAnsi="Calibri"/>
          <w:color w:val="000000"/>
        </w:rPr>
        <w:t>stock</w:t>
      </w:r>
      <w:r w:rsidR="00AD4FCC">
        <w:rPr>
          <w:rFonts w:ascii="Calibri" w:hAnsi="Calibri"/>
          <w:color w:val="000000"/>
        </w:rPr>
        <w:t xml:space="preserve"> </w:t>
      </w:r>
      <w:r w:rsidR="00DC0FD1">
        <w:rPr>
          <w:rFonts w:ascii="Calibri" w:hAnsi="Calibri"/>
          <w:color w:val="000000"/>
        </w:rPr>
        <w:t>indices</w:t>
      </w:r>
      <w:r w:rsidR="00AD4FCC">
        <w:rPr>
          <w:rFonts w:ascii="Calibri" w:hAnsi="Calibri"/>
          <w:color w:val="000000"/>
        </w:rPr>
        <w:t>. However, little was</w:t>
      </w:r>
      <w:r w:rsidR="00D37A57">
        <w:rPr>
          <w:rFonts w:ascii="Calibri" w:hAnsi="Calibri"/>
          <w:color w:val="000000"/>
        </w:rPr>
        <w:t xml:space="preserve"> known about the relationship between </w:t>
      </w:r>
      <w:r w:rsidR="00C46382">
        <w:rPr>
          <w:rFonts w:ascii="Calibri" w:hAnsi="Calibri"/>
          <w:color w:val="000000"/>
        </w:rPr>
        <w:t xml:space="preserve">GCC </w:t>
      </w:r>
      <w:r w:rsidR="00D37A57">
        <w:rPr>
          <w:rFonts w:ascii="Calibri" w:hAnsi="Calibri"/>
          <w:color w:val="000000"/>
        </w:rPr>
        <w:t xml:space="preserve">sectoral </w:t>
      </w:r>
      <w:r w:rsidR="00674202">
        <w:rPr>
          <w:rFonts w:ascii="Calibri" w:hAnsi="Calibri"/>
          <w:color w:val="000000"/>
        </w:rPr>
        <w:t>stock</w:t>
      </w:r>
      <w:r w:rsidR="00D37A57">
        <w:rPr>
          <w:rFonts w:ascii="Calibri" w:hAnsi="Calibri"/>
          <w:color w:val="000000"/>
        </w:rPr>
        <w:t xml:space="preserve"> market disturb</w:t>
      </w:r>
      <w:r w:rsidR="00AD4FCC">
        <w:rPr>
          <w:rFonts w:ascii="Calibri" w:hAnsi="Calibri"/>
          <w:color w:val="000000"/>
        </w:rPr>
        <w:t>ances and oil price innovations until the publication of</w:t>
      </w:r>
      <w:r w:rsidR="00D37A57">
        <w:rPr>
          <w:rFonts w:ascii="Calibri" w:hAnsi="Calibri"/>
          <w:color w:val="000000"/>
        </w:rPr>
        <w:t xml:space="preserve"> Mohanty </w:t>
      </w:r>
      <w:r w:rsidR="00E1141E" w:rsidRPr="00E1141E">
        <w:rPr>
          <w:rFonts w:ascii="Calibri" w:hAnsi="Calibri"/>
          <w:i/>
          <w:color w:val="000000"/>
        </w:rPr>
        <w:t>et al.</w:t>
      </w:r>
      <w:r w:rsidR="00D37A57">
        <w:rPr>
          <w:rFonts w:ascii="Calibri" w:hAnsi="Calibri"/>
          <w:color w:val="000000"/>
        </w:rPr>
        <w:t xml:space="preserve"> (2011)</w:t>
      </w:r>
      <w:r w:rsidR="00AD4FCC">
        <w:rPr>
          <w:rFonts w:ascii="Calibri" w:hAnsi="Calibri"/>
          <w:color w:val="000000"/>
        </w:rPr>
        <w:t>.</w:t>
      </w:r>
      <w:r w:rsidR="00C46382">
        <w:rPr>
          <w:rStyle w:val="FootnoteReference"/>
          <w:rFonts w:ascii="Calibri" w:hAnsi="Calibri"/>
          <w:color w:val="000000"/>
        </w:rPr>
        <w:footnoteReference w:id="4"/>
      </w:r>
      <w:r w:rsidR="00AD4FCC">
        <w:rPr>
          <w:rFonts w:ascii="Calibri" w:hAnsi="Calibri"/>
          <w:color w:val="000000"/>
        </w:rPr>
        <w:t xml:space="preserve"> </w:t>
      </w:r>
      <w:r w:rsidR="00D37A57">
        <w:rPr>
          <w:rFonts w:ascii="Calibri" w:hAnsi="Calibri"/>
          <w:color w:val="000000"/>
        </w:rPr>
        <w:t xml:space="preserve"> </w:t>
      </w:r>
      <w:r w:rsidR="00574F06">
        <w:rPr>
          <w:rFonts w:ascii="Calibri" w:hAnsi="Calibri"/>
          <w:color w:val="000000"/>
        </w:rPr>
        <w:t>These authors</w:t>
      </w:r>
      <w:r w:rsidR="00574F06" w:rsidRPr="00574F06">
        <w:rPr>
          <w:rFonts w:ascii="Calibri" w:hAnsi="Calibri"/>
          <w:color w:val="000000"/>
        </w:rPr>
        <w:t xml:space="preserve"> assess</w:t>
      </w:r>
      <w:r w:rsidR="005C2800">
        <w:rPr>
          <w:rFonts w:ascii="Calibri" w:hAnsi="Calibri"/>
          <w:color w:val="000000"/>
        </w:rPr>
        <w:t>ed</w:t>
      </w:r>
      <w:r w:rsidR="00574F06" w:rsidRPr="00574F06">
        <w:rPr>
          <w:rFonts w:ascii="Calibri" w:hAnsi="Calibri"/>
          <w:color w:val="000000"/>
        </w:rPr>
        <w:t xml:space="preserve"> the</w:t>
      </w:r>
      <w:r w:rsidR="00574F06">
        <w:rPr>
          <w:rFonts w:ascii="Calibri" w:hAnsi="Calibri"/>
          <w:color w:val="000000"/>
        </w:rPr>
        <w:t xml:space="preserve"> </w:t>
      </w:r>
      <w:r w:rsidR="00574F06" w:rsidRPr="00574F06">
        <w:rPr>
          <w:rFonts w:ascii="Calibri" w:hAnsi="Calibri"/>
          <w:color w:val="000000"/>
        </w:rPr>
        <w:t xml:space="preserve">relation between changes in crude oil prices and </w:t>
      </w:r>
      <w:r w:rsidR="00674202">
        <w:rPr>
          <w:rFonts w:ascii="Calibri" w:hAnsi="Calibri"/>
          <w:color w:val="000000"/>
        </w:rPr>
        <w:t>stock</w:t>
      </w:r>
      <w:r w:rsidR="00574F06" w:rsidRPr="00574F06">
        <w:rPr>
          <w:rFonts w:ascii="Calibri" w:hAnsi="Calibri"/>
          <w:color w:val="000000"/>
        </w:rPr>
        <w:t xml:space="preserve"> returns using </w:t>
      </w:r>
      <w:r w:rsidR="00574F06">
        <w:rPr>
          <w:rFonts w:ascii="Calibri" w:hAnsi="Calibri"/>
          <w:color w:val="000000"/>
        </w:rPr>
        <w:t xml:space="preserve">both country-level and </w:t>
      </w:r>
      <w:r w:rsidR="00574F06" w:rsidRPr="00574F06">
        <w:rPr>
          <w:rFonts w:ascii="Calibri" w:hAnsi="Calibri"/>
          <w:color w:val="000000"/>
        </w:rPr>
        <w:t>indust</w:t>
      </w:r>
      <w:r w:rsidR="00130989">
        <w:rPr>
          <w:rFonts w:ascii="Calibri" w:hAnsi="Calibri"/>
          <w:color w:val="000000"/>
        </w:rPr>
        <w:t>ry-level stock market</w:t>
      </w:r>
      <w:r w:rsidR="00574F06">
        <w:rPr>
          <w:rFonts w:ascii="Calibri" w:hAnsi="Calibri"/>
          <w:color w:val="000000"/>
        </w:rPr>
        <w:t xml:space="preserve"> data. A</w:t>
      </w:r>
      <w:r w:rsidR="00574F06" w:rsidRPr="00574F06">
        <w:rPr>
          <w:rFonts w:ascii="Calibri" w:hAnsi="Calibri"/>
          <w:color w:val="000000"/>
        </w:rPr>
        <w:t>t the country</w:t>
      </w:r>
      <w:r w:rsidR="00574F06">
        <w:rPr>
          <w:rFonts w:ascii="Calibri" w:hAnsi="Calibri"/>
          <w:color w:val="000000"/>
        </w:rPr>
        <w:t xml:space="preserve"> </w:t>
      </w:r>
      <w:r w:rsidR="00574F06" w:rsidRPr="00574F06">
        <w:rPr>
          <w:rFonts w:ascii="Calibri" w:hAnsi="Calibri"/>
          <w:color w:val="000000"/>
        </w:rPr>
        <w:t xml:space="preserve">level, </w:t>
      </w:r>
      <w:r>
        <w:rPr>
          <w:rFonts w:ascii="Calibri" w:hAnsi="Calibri"/>
          <w:color w:val="000000"/>
        </w:rPr>
        <w:t>they</w:t>
      </w:r>
      <w:r w:rsidR="00574F06">
        <w:rPr>
          <w:rFonts w:ascii="Calibri" w:hAnsi="Calibri"/>
          <w:color w:val="000000"/>
        </w:rPr>
        <w:t xml:space="preserve"> show</w:t>
      </w:r>
      <w:r w:rsidR="005C2800">
        <w:rPr>
          <w:rFonts w:ascii="Calibri" w:hAnsi="Calibri"/>
          <w:color w:val="000000"/>
        </w:rPr>
        <w:t>ed</w:t>
      </w:r>
      <w:r w:rsidR="00574F06">
        <w:rPr>
          <w:rFonts w:ascii="Calibri" w:hAnsi="Calibri"/>
          <w:color w:val="000000"/>
        </w:rPr>
        <w:t xml:space="preserve"> that, </w:t>
      </w:r>
      <w:r w:rsidR="00574F06" w:rsidRPr="00574F06">
        <w:rPr>
          <w:rFonts w:ascii="Calibri" w:hAnsi="Calibri"/>
          <w:color w:val="000000"/>
        </w:rPr>
        <w:t xml:space="preserve">except for Kuwait, </w:t>
      </w:r>
      <w:r>
        <w:rPr>
          <w:rFonts w:ascii="Calibri" w:hAnsi="Calibri"/>
          <w:color w:val="000000"/>
        </w:rPr>
        <w:t xml:space="preserve">GCC </w:t>
      </w:r>
      <w:r w:rsidR="00574F06" w:rsidRPr="00574F06">
        <w:rPr>
          <w:rFonts w:ascii="Calibri" w:hAnsi="Calibri"/>
          <w:color w:val="000000"/>
        </w:rPr>
        <w:t>stock markets have significant positive</w:t>
      </w:r>
      <w:r w:rsidR="00574F06">
        <w:rPr>
          <w:rFonts w:ascii="Calibri" w:hAnsi="Calibri"/>
          <w:color w:val="000000"/>
        </w:rPr>
        <w:t xml:space="preserve"> </w:t>
      </w:r>
      <w:r w:rsidR="00574F06" w:rsidRPr="00574F06">
        <w:rPr>
          <w:rFonts w:ascii="Calibri" w:hAnsi="Calibri"/>
          <w:color w:val="000000"/>
        </w:rPr>
        <w:t>exposure to oil price shocks. At the industry level, the</w:t>
      </w:r>
      <w:r w:rsidR="00574F06">
        <w:rPr>
          <w:rFonts w:ascii="Calibri" w:hAnsi="Calibri"/>
          <w:color w:val="000000"/>
        </w:rPr>
        <w:t>y f</w:t>
      </w:r>
      <w:r w:rsidR="005C2800">
        <w:rPr>
          <w:rFonts w:ascii="Calibri" w:hAnsi="Calibri"/>
          <w:color w:val="000000"/>
        </w:rPr>
        <w:t>ou</w:t>
      </w:r>
      <w:r w:rsidR="00574F06">
        <w:rPr>
          <w:rFonts w:ascii="Calibri" w:hAnsi="Calibri"/>
          <w:color w:val="000000"/>
        </w:rPr>
        <w:t>nd</w:t>
      </w:r>
      <w:r w:rsidR="00574F06" w:rsidRPr="00574F06">
        <w:rPr>
          <w:rFonts w:ascii="Calibri" w:hAnsi="Calibri"/>
          <w:color w:val="000000"/>
        </w:rPr>
        <w:t xml:space="preserve"> </w:t>
      </w:r>
      <w:r w:rsidR="005C2800">
        <w:rPr>
          <w:rFonts w:ascii="Calibri" w:hAnsi="Calibri"/>
          <w:color w:val="000000"/>
        </w:rPr>
        <w:t xml:space="preserve">that the </w:t>
      </w:r>
      <w:r w:rsidR="00574F06" w:rsidRPr="00574F06">
        <w:rPr>
          <w:rFonts w:ascii="Calibri" w:hAnsi="Calibri"/>
          <w:color w:val="000000"/>
        </w:rPr>
        <w:t>responses of</w:t>
      </w:r>
      <w:r w:rsidR="00574F06">
        <w:rPr>
          <w:rFonts w:ascii="Calibri" w:hAnsi="Calibri"/>
          <w:color w:val="000000"/>
        </w:rPr>
        <w:t xml:space="preserve"> </w:t>
      </w:r>
      <w:r w:rsidR="00574F06" w:rsidRPr="00574F06">
        <w:rPr>
          <w:rFonts w:ascii="Calibri" w:hAnsi="Calibri"/>
          <w:color w:val="000000"/>
        </w:rPr>
        <w:t>industry-specific returns to oil shocks are significantly positive for</w:t>
      </w:r>
      <w:r w:rsidR="00574F06">
        <w:rPr>
          <w:rFonts w:ascii="Calibri" w:hAnsi="Calibri"/>
          <w:color w:val="000000"/>
        </w:rPr>
        <w:t xml:space="preserve"> only 12 </w:t>
      </w:r>
      <w:r w:rsidR="00574F06" w:rsidRPr="00574F06">
        <w:rPr>
          <w:rFonts w:ascii="Calibri" w:hAnsi="Calibri"/>
          <w:color w:val="000000"/>
        </w:rPr>
        <w:t>of</w:t>
      </w:r>
      <w:r w:rsidR="00574F06">
        <w:rPr>
          <w:rFonts w:ascii="Calibri" w:hAnsi="Calibri"/>
          <w:color w:val="000000"/>
        </w:rPr>
        <w:t xml:space="preserve"> the</w:t>
      </w:r>
      <w:r w:rsidR="00574F06" w:rsidRPr="00574F06">
        <w:rPr>
          <w:rFonts w:ascii="Calibri" w:hAnsi="Calibri"/>
          <w:color w:val="000000"/>
        </w:rPr>
        <w:t xml:space="preserve"> 20 industries. </w:t>
      </w:r>
      <w:r>
        <w:rPr>
          <w:rFonts w:ascii="Calibri" w:hAnsi="Calibri"/>
          <w:color w:val="000000"/>
        </w:rPr>
        <w:t xml:space="preserve">Their </w:t>
      </w:r>
      <w:r w:rsidR="00574F06" w:rsidRPr="00574F06">
        <w:rPr>
          <w:rFonts w:ascii="Calibri" w:hAnsi="Calibri"/>
          <w:color w:val="000000"/>
        </w:rPr>
        <w:t>study also provide</w:t>
      </w:r>
      <w:r w:rsidR="005C2800">
        <w:rPr>
          <w:rFonts w:ascii="Calibri" w:hAnsi="Calibri"/>
          <w:color w:val="000000"/>
        </w:rPr>
        <w:t>d</w:t>
      </w:r>
      <w:r w:rsidR="00574F06" w:rsidRPr="00574F06">
        <w:rPr>
          <w:rFonts w:ascii="Calibri" w:hAnsi="Calibri"/>
          <w:color w:val="000000"/>
        </w:rPr>
        <w:t xml:space="preserve"> evidence that oil</w:t>
      </w:r>
      <w:r w:rsidR="00574F06">
        <w:rPr>
          <w:rFonts w:ascii="Calibri" w:hAnsi="Calibri"/>
          <w:color w:val="000000"/>
        </w:rPr>
        <w:t xml:space="preserve"> </w:t>
      </w:r>
      <w:r w:rsidR="00574F06" w:rsidRPr="00574F06">
        <w:rPr>
          <w:rFonts w:ascii="Calibri" w:hAnsi="Calibri"/>
          <w:color w:val="000000"/>
        </w:rPr>
        <w:t>price changes have asymmetric</w:t>
      </w:r>
      <w:r w:rsidR="00574F06">
        <w:rPr>
          <w:rFonts w:ascii="Calibri" w:hAnsi="Calibri"/>
          <w:color w:val="000000"/>
        </w:rPr>
        <w:t xml:space="preserve"> </w:t>
      </w:r>
      <w:r w:rsidR="00574F06" w:rsidRPr="00574F06">
        <w:rPr>
          <w:rFonts w:ascii="Calibri" w:hAnsi="Calibri"/>
          <w:color w:val="000000"/>
        </w:rPr>
        <w:t xml:space="preserve">effects on stock market returns at </w:t>
      </w:r>
      <w:r>
        <w:rPr>
          <w:rFonts w:ascii="Calibri" w:hAnsi="Calibri"/>
          <w:color w:val="000000"/>
        </w:rPr>
        <w:t xml:space="preserve">both levels. </w:t>
      </w:r>
      <w:r w:rsidR="00CB6CEB">
        <w:rPr>
          <w:rFonts w:ascii="Calibri" w:hAnsi="Calibri"/>
          <w:color w:val="000000"/>
        </w:rPr>
        <w:t xml:space="preserve">However, Mohanty </w:t>
      </w:r>
      <w:r w:rsidR="00E1141E" w:rsidRPr="00E1141E">
        <w:rPr>
          <w:rFonts w:ascii="Calibri" w:hAnsi="Calibri"/>
          <w:i/>
          <w:color w:val="000000"/>
        </w:rPr>
        <w:t>et al.</w:t>
      </w:r>
      <w:r w:rsidR="00CB6CEB">
        <w:rPr>
          <w:rFonts w:ascii="Calibri" w:hAnsi="Calibri"/>
          <w:color w:val="000000"/>
        </w:rPr>
        <w:t xml:space="preserve"> d</w:t>
      </w:r>
      <w:r w:rsidR="005C2800">
        <w:rPr>
          <w:rFonts w:ascii="Calibri" w:hAnsi="Calibri"/>
          <w:color w:val="000000"/>
        </w:rPr>
        <w:t>id</w:t>
      </w:r>
      <w:r w:rsidR="00CB6CEB">
        <w:rPr>
          <w:rFonts w:ascii="Calibri" w:hAnsi="Calibri"/>
          <w:color w:val="000000"/>
        </w:rPr>
        <w:t xml:space="preserve"> not consider stock market and oil price volatilities in their study.</w:t>
      </w:r>
    </w:p>
    <w:p w:rsidR="00F22D4A" w:rsidRDefault="000464B7" w:rsidP="000464B7">
      <w:pPr>
        <w:rPr>
          <w:rFonts w:ascii="Calibri" w:hAnsi="Calibri"/>
          <w:color w:val="000000"/>
        </w:rPr>
      </w:pPr>
      <w:r>
        <w:rPr>
          <w:rFonts w:ascii="Calibri" w:hAnsi="Calibri"/>
          <w:color w:val="000000"/>
        </w:rPr>
        <w:t>Focusing on disaggregated stock market data in analyzing</w:t>
      </w:r>
      <w:r w:rsidRPr="000464B7">
        <w:rPr>
          <w:rFonts w:ascii="Calibri" w:hAnsi="Calibri"/>
          <w:color w:val="000000"/>
        </w:rPr>
        <w:t xml:space="preserve"> the impact of oil price shocks on</w:t>
      </w:r>
      <w:r>
        <w:rPr>
          <w:rFonts w:ascii="Calibri" w:hAnsi="Calibri"/>
          <w:color w:val="000000"/>
        </w:rPr>
        <w:t xml:space="preserve"> </w:t>
      </w:r>
      <w:r w:rsidRPr="000464B7">
        <w:rPr>
          <w:rFonts w:ascii="Calibri" w:hAnsi="Calibri"/>
          <w:color w:val="000000"/>
        </w:rPr>
        <w:t xml:space="preserve">stock returns </w:t>
      </w:r>
      <w:r>
        <w:rPr>
          <w:rFonts w:ascii="Calibri" w:hAnsi="Calibri"/>
          <w:color w:val="000000"/>
        </w:rPr>
        <w:t xml:space="preserve">is a sensible approach </w:t>
      </w:r>
      <w:r w:rsidR="000B5C59">
        <w:rPr>
          <w:rFonts w:ascii="Calibri" w:hAnsi="Calibri"/>
          <w:color w:val="000000"/>
        </w:rPr>
        <w:t>since it allows us</w:t>
      </w:r>
      <w:r w:rsidR="00C25D05">
        <w:rPr>
          <w:rFonts w:ascii="Calibri" w:hAnsi="Calibri"/>
          <w:color w:val="000000"/>
        </w:rPr>
        <w:t xml:space="preserve"> to factor in speculators’ sentiment</w:t>
      </w:r>
      <w:r w:rsidR="005C2800">
        <w:rPr>
          <w:rFonts w:ascii="Calibri" w:hAnsi="Calibri"/>
          <w:color w:val="000000"/>
        </w:rPr>
        <w:t>s</w:t>
      </w:r>
      <w:r w:rsidR="00C25D05">
        <w:rPr>
          <w:rFonts w:ascii="Calibri" w:hAnsi="Calibri"/>
          <w:color w:val="000000"/>
        </w:rPr>
        <w:t xml:space="preserve"> in buying and selling stocks</w:t>
      </w:r>
      <w:r w:rsidR="00CC62F5">
        <w:rPr>
          <w:rFonts w:ascii="Calibri" w:hAnsi="Calibri"/>
          <w:color w:val="000000"/>
        </w:rPr>
        <w:t xml:space="preserve"> on a daily basis</w:t>
      </w:r>
      <w:r w:rsidR="00C25D05">
        <w:rPr>
          <w:rFonts w:ascii="Calibri" w:hAnsi="Calibri"/>
          <w:color w:val="000000"/>
        </w:rPr>
        <w:t xml:space="preserve">. </w:t>
      </w:r>
      <w:r w:rsidR="000B5C59">
        <w:rPr>
          <w:rFonts w:ascii="Calibri" w:hAnsi="Calibri"/>
          <w:color w:val="000000"/>
        </w:rPr>
        <w:t>Instinctively</w:t>
      </w:r>
      <w:r w:rsidR="0026475D">
        <w:rPr>
          <w:rFonts w:ascii="Calibri" w:hAnsi="Calibri"/>
          <w:color w:val="000000"/>
        </w:rPr>
        <w:t>,</w:t>
      </w:r>
      <w:r w:rsidR="00C25D05">
        <w:rPr>
          <w:rFonts w:ascii="Calibri" w:hAnsi="Calibri"/>
          <w:color w:val="000000"/>
        </w:rPr>
        <w:t xml:space="preserve"> an </w:t>
      </w:r>
      <w:r w:rsidR="00E56F5F">
        <w:rPr>
          <w:rFonts w:ascii="Calibri" w:hAnsi="Calibri"/>
          <w:color w:val="000000"/>
        </w:rPr>
        <w:t xml:space="preserve">investor contemplating </w:t>
      </w:r>
      <w:r w:rsidR="00C25D05">
        <w:rPr>
          <w:rFonts w:ascii="Calibri" w:hAnsi="Calibri"/>
          <w:color w:val="000000"/>
        </w:rPr>
        <w:t xml:space="preserve">a quick return will </w:t>
      </w:r>
      <w:r w:rsidR="005C2800">
        <w:rPr>
          <w:rFonts w:ascii="Calibri" w:hAnsi="Calibri"/>
          <w:color w:val="000000"/>
        </w:rPr>
        <w:t xml:space="preserve">closely </w:t>
      </w:r>
      <w:r w:rsidR="00C25D05">
        <w:rPr>
          <w:rFonts w:ascii="Calibri" w:hAnsi="Calibri"/>
          <w:color w:val="000000"/>
        </w:rPr>
        <w:t>follow movement in various stocks to capitalize on any relationship that might exist.</w:t>
      </w:r>
      <w:r w:rsidR="0026475D">
        <w:rPr>
          <w:rFonts w:ascii="Calibri" w:hAnsi="Calibri"/>
          <w:color w:val="000000"/>
        </w:rPr>
        <w:t xml:space="preserve"> </w:t>
      </w:r>
      <w:r w:rsidR="000B5C59">
        <w:rPr>
          <w:rFonts w:ascii="Calibri" w:hAnsi="Calibri"/>
          <w:color w:val="000000"/>
        </w:rPr>
        <w:t>For example, i</w:t>
      </w:r>
      <w:r w:rsidR="0026475D">
        <w:rPr>
          <w:rFonts w:ascii="Calibri" w:hAnsi="Calibri"/>
          <w:color w:val="000000"/>
        </w:rPr>
        <w:t>f the</w:t>
      </w:r>
      <w:r w:rsidR="00835B13">
        <w:rPr>
          <w:rFonts w:ascii="Calibri" w:hAnsi="Calibri"/>
          <w:color w:val="000000"/>
        </w:rPr>
        <w:t xml:space="preserve"> performances of </w:t>
      </w:r>
      <w:r w:rsidR="0026475D">
        <w:rPr>
          <w:rFonts w:ascii="Calibri" w:hAnsi="Calibri"/>
          <w:color w:val="000000"/>
        </w:rPr>
        <w:t>oil and industry sectors</w:t>
      </w:r>
      <w:r w:rsidR="00835B13">
        <w:rPr>
          <w:rFonts w:ascii="Calibri" w:hAnsi="Calibri"/>
          <w:color w:val="000000"/>
        </w:rPr>
        <w:t xml:space="preserve"> </w:t>
      </w:r>
      <w:r w:rsidR="0026475D">
        <w:rPr>
          <w:rFonts w:ascii="Calibri" w:hAnsi="Calibri"/>
          <w:color w:val="000000"/>
        </w:rPr>
        <w:t xml:space="preserve">are inversely correlated, expectations </w:t>
      </w:r>
      <w:r w:rsidR="00835B13">
        <w:rPr>
          <w:rFonts w:ascii="Calibri" w:hAnsi="Calibri"/>
          <w:color w:val="000000"/>
        </w:rPr>
        <w:t xml:space="preserve">of an increase in </w:t>
      </w:r>
      <w:r w:rsidR="0026475D">
        <w:rPr>
          <w:rFonts w:ascii="Calibri" w:hAnsi="Calibri"/>
          <w:color w:val="000000"/>
        </w:rPr>
        <w:t>the price of oil may prompt investors to purchase oil compan</w:t>
      </w:r>
      <w:r w:rsidR="005C2800">
        <w:rPr>
          <w:rFonts w:ascii="Calibri" w:hAnsi="Calibri"/>
          <w:color w:val="000000"/>
        </w:rPr>
        <w:t>y</w:t>
      </w:r>
      <w:r w:rsidR="0026475D">
        <w:rPr>
          <w:rFonts w:ascii="Calibri" w:hAnsi="Calibri"/>
          <w:color w:val="000000"/>
        </w:rPr>
        <w:t xml:space="preserve"> stocks while selling industrial compan</w:t>
      </w:r>
      <w:r w:rsidR="005C2800">
        <w:rPr>
          <w:rFonts w:ascii="Calibri" w:hAnsi="Calibri"/>
          <w:color w:val="000000"/>
        </w:rPr>
        <w:t>y</w:t>
      </w:r>
      <w:r w:rsidR="0026475D">
        <w:rPr>
          <w:rFonts w:ascii="Calibri" w:hAnsi="Calibri"/>
          <w:color w:val="000000"/>
        </w:rPr>
        <w:t xml:space="preserve"> shares</w:t>
      </w:r>
      <w:r w:rsidR="000B5C59">
        <w:rPr>
          <w:rFonts w:ascii="Calibri" w:hAnsi="Calibri"/>
          <w:color w:val="000000"/>
        </w:rPr>
        <w:t>. Heterogeneity of industries makes it possible for these</w:t>
      </w:r>
      <w:r w:rsidR="00103A15">
        <w:rPr>
          <w:rFonts w:ascii="Calibri" w:hAnsi="Calibri"/>
          <w:color w:val="000000"/>
        </w:rPr>
        <w:t xml:space="preserve"> potential</w:t>
      </w:r>
      <w:r w:rsidR="000B5C59">
        <w:rPr>
          <w:rFonts w:ascii="Calibri" w:hAnsi="Calibri"/>
          <w:color w:val="000000"/>
        </w:rPr>
        <w:t xml:space="preserve"> gains to materialize</w:t>
      </w:r>
      <w:r w:rsidR="005C2800">
        <w:rPr>
          <w:rFonts w:ascii="Calibri" w:hAnsi="Calibri"/>
          <w:color w:val="000000"/>
        </w:rPr>
        <w:t>,</w:t>
      </w:r>
      <w:r w:rsidR="000B5C59">
        <w:rPr>
          <w:rFonts w:ascii="Calibri" w:hAnsi="Calibri"/>
          <w:color w:val="000000"/>
        </w:rPr>
        <w:t xml:space="preserve"> </w:t>
      </w:r>
      <w:r w:rsidR="00CC62F5">
        <w:rPr>
          <w:rFonts w:ascii="Calibri" w:hAnsi="Calibri"/>
          <w:color w:val="000000"/>
        </w:rPr>
        <w:t>as risks are being minimized (</w:t>
      </w:r>
      <w:r w:rsidR="000B5C59">
        <w:rPr>
          <w:rFonts w:ascii="Calibri" w:hAnsi="Calibri"/>
          <w:color w:val="000000"/>
        </w:rPr>
        <w:t>Fama and French</w:t>
      </w:r>
      <w:r w:rsidR="00CC62F5">
        <w:rPr>
          <w:rFonts w:ascii="Calibri" w:hAnsi="Calibri"/>
          <w:color w:val="000000"/>
        </w:rPr>
        <w:t>,</w:t>
      </w:r>
      <w:r w:rsidR="000B5C59">
        <w:rPr>
          <w:rFonts w:ascii="Calibri" w:hAnsi="Calibri"/>
          <w:color w:val="000000"/>
        </w:rPr>
        <w:t xml:space="preserve"> 199</w:t>
      </w:r>
      <w:r w:rsidR="00835B13">
        <w:rPr>
          <w:rFonts w:ascii="Calibri" w:hAnsi="Calibri"/>
          <w:color w:val="000000"/>
        </w:rPr>
        <w:t>3)</w:t>
      </w:r>
      <w:r w:rsidR="00CC62F5">
        <w:rPr>
          <w:rFonts w:ascii="Calibri" w:hAnsi="Calibri"/>
          <w:color w:val="000000"/>
        </w:rPr>
        <w:t>.</w:t>
      </w:r>
      <w:r w:rsidR="00C22C74">
        <w:rPr>
          <w:rFonts w:ascii="Calibri" w:hAnsi="Calibri"/>
          <w:color w:val="000000"/>
        </w:rPr>
        <w:t xml:space="preserve"> Therefore, a study</w:t>
      </w:r>
      <w:r w:rsidR="009E79BA">
        <w:rPr>
          <w:rFonts w:ascii="Calibri" w:hAnsi="Calibri"/>
          <w:color w:val="000000"/>
        </w:rPr>
        <w:t xml:space="preserve"> on the relationship between stock market returns at the industry level and oil price movements are of utmost importance to market participants. </w:t>
      </w:r>
      <w:r w:rsidR="00CC62F5">
        <w:rPr>
          <w:rFonts w:ascii="Calibri" w:hAnsi="Calibri"/>
          <w:color w:val="000000"/>
        </w:rPr>
        <w:t xml:space="preserve">Recent studies by </w:t>
      </w:r>
      <w:r w:rsidR="00CC62F5" w:rsidRPr="00336309">
        <w:rPr>
          <w:rFonts w:ascii="Calibri" w:hAnsi="Calibri"/>
          <w:color w:val="000000"/>
        </w:rPr>
        <w:t>Kilian (2008b</w:t>
      </w:r>
      <w:r w:rsidR="005F2E0E" w:rsidRPr="00336309">
        <w:rPr>
          <w:rFonts w:ascii="Calibri" w:hAnsi="Calibri"/>
          <w:color w:val="000000"/>
        </w:rPr>
        <w:t>, 2009</w:t>
      </w:r>
      <w:r w:rsidR="00CC62F5" w:rsidRPr="00336309">
        <w:rPr>
          <w:rFonts w:ascii="Calibri" w:hAnsi="Calibri"/>
          <w:color w:val="000000"/>
        </w:rPr>
        <w:t>)</w:t>
      </w:r>
      <w:r w:rsidR="005C2800">
        <w:rPr>
          <w:rFonts w:ascii="Calibri" w:hAnsi="Calibri"/>
          <w:color w:val="000000"/>
        </w:rPr>
        <w:t>,</w:t>
      </w:r>
      <w:r w:rsidR="00CC62F5" w:rsidRPr="00336309">
        <w:rPr>
          <w:rFonts w:ascii="Calibri" w:hAnsi="Calibri"/>
          <w:color w:val="000000"/>
        </w:rPr>
        <w:t xml:space="preserve"> and Kilian </w:t>
      </w:r>
      <w:r w:rsidR="00C225AC" w:rsidRPr="00336309">
        <w:rPr>
          <w:rFonts w:ascii="Calibri" w:hAnsi="Calibri"/>
          <w:color w:val="000000"/>
        </w:rPr>
        <w:t>and</w:t>
      </w:r>
      <w:r w:rsidR="00CC62F5" w:rsidRPr="00336309">
        <w:rPr>
          <w:rFonts w:ascii="Calibri" w:hAnsi="Calibri"/>
          <w:color w:val="000000"/>
        </w:rPr>
        <w:t xml:space="preserve"> Park (2009)</w:t>
      </w:r>
      <w:r w:rsidR="00CC62F5">
        <w:rPr>
          <w:rFonts w:ascii="Calibri" w:hAnsi="Calibri"/>
          <w:color w:val="000000"/>
        </w:rPr>
        <w:t xml:space="preserve"> have established that the effects of oil price shocks on the real economy </w:t>
      </w:r>
      <w:r w:rsidR="00E56F5F">
        <w:rPr>
          <w:rFonts w:ascii="Calibri" w:hAnsi="Calibri"/>
          <w:color w:val="000000"/>
        </w:rPr>
        <w:t>depend on whether these shocks</w:t>
      </w:r>
      <w:r w:rsidR="00374FE0">
        <w:rPr>
          <w:rFonts w:ascii="Calibri" w:hAnsi="Calibri"/>
          <w:color w:val="000000"/>
        </w:rPr>
        <w:t xml:space="preserve"> are driven by global demand or s</w:t>
      </w:r>
      <w:r w:rsidR="00E56F5F">
        <w:rPr>
          <w:rFonts w:ascii="Calibri" w:hAnsi="Calibri"/>
          <w:color w:val="000000"/>
        </w:rPr>
        <w:t>upply factors.</w:t>
      </w:r>
      <w:r w:rsidR="00F22D4A">
        <w:rPr>
          <w:rFonts w:ascii="Calibri" w:hAnsi="Calibri"/>
          <w:color w:val="000000"/>
        </w:rPr>
        <w:t xml:space="preserve"> Killian and Park (2009) have also shown that the effects of oil price shocks on stock market returns hinge on the underlying causes of the oil shocks</w:t>
      </w:r>
      <w:r w:rsidR="005C2800">
        <w:rPr>
          <w:rFonts w:ascii="Calibri" w:hAnsi="Calibri"/>
          <w:color w:val="000000"/>
        </w:rPr>
        <w:t>,</w:t>
      </w:r>
      <w:r w:rsidR="00F22D4A">
        <w:rPr>
          <w:rFonts w:ascii="Calibri" w:hAnsi="Calibri"/>
          <w:color w:val="000000"/>
        </w:rPr>
        <w:t xml:space="preserve"> and these effects vary across industries.</w:t>
      </w:r>
      <w:r w:rsidR="00006E5D">
        <w:rPr>
          <w:rFonts w:ascii="Calibri" w:hAnsi="Calibri"/>
          <w:color w:val="000000"/>
        </w:rPr>
        <w:t xml:space="preserve"> Their findings suggest that </w:t>
      </w:r>
      <w:r w:rsidR="0070123E">
        <w:rPr>
          <w:rFonts w:ascii="Calibri" w:hAnsi="Calibri"/>
          <w:color w:val="000000"/>
        </w:rPr>
        <w:t xml:space="preserve">sectoral analysis is </w:t>
      </w:r>
      <w:r w:rsidR="005C2800">
        <w:rPr>
          <w:rFonts w:ascii="Calibri" w:hAnsi="Calibri"/>
          <w:color w:val="000000"/>
        </w:rPr>
        <w:t xml:space="preserve">the </w:t>
      </w:r>
      <w:r w:rsidR="0070123E">
        <w:rPr>
          <w:rFonts w:ascii="Calibri" w:hAnsi="Calibri"/>
          <w:color w:val="000000"/>
        </w:rPr>
        <w:t xml:space="preserve">most appropriate </w:t>
      </w:r>
      <w:r w:rsidR="005C2800">
        <w:rPr>
          <w:rFonts w:ascii="Calibri" w:hAnsi="Calibri"/>
          <w:color w:val="000000"/>
        </w:rPr>
        <w:t xml:space="preserve">for </w:t>
      </w:r>
      <w:r w:rsidR="0070123E">
        <w:rPr>
          <w:rFonts w:ascii="Calibri" w:hAnsi="Calibri"/>
          <w:color w:val="000000"/>
        </w:rPr>
        <w:t>captur</w:t>
      </w:r>
      <w:r w:rsidR="005C2800">
        <w:rPr>
          <w:rFonts w:ascii="Calibri" w:hAnsi="Calibri"/>
          <w:color w:val="000000"/>
        </w:rPr>
        <w:t>ing</w:t>
      </w:r>
      <w:r w:rsidR="0070123E">
        <w:rPr>
          <w:rFonts w:ascii="Calibri" w:hAnsi="Calibri"/>
          <w:color w:val="000000"/>
        </w:rPr>
        <w:t xml:space="preserve"> the relationship between oil prices and stock market disturbances. </w:t>
      </w:r>
    </w:p>
    <w:p w:rsidR="005F7701" w:rsidRDefault="0005048D" w:rsidP="009C1ED7">
      <w:pPr>
        <w:rPr>
          <w:rFonts w:ascii="Calibri" w:hAnsi="Calibri"/>
          <w:color w:val="000000"/>
        </w:rPr>
      </w:pPr>
      <w:r>
        <w:rPr>
          <w:rFonts w:ascii="Calibri" w:hAnsi="Calibri"/>
          <w:color w:val="000000"/>
        </w:rPr>
        <w:t>In this paper, we make three</w:t>
      </w:r>
      <w:r w:rsidR="004156B3">
        <w:rPr>
          <w:rFonts w:ascii="Calibri" w:hAnsi="Calibri"/>
          <w:color w:val="000000"/>
        </w:rPr>
        <w:t xml:space="preserve"> major contributions to</w:t>
      </w:r>
      <w:r w:rsidR="00D54F9B">
        <w:rPr>
          <w:rFonts w:ascii="Calibri" w:hAnsi="Calibri"/>
          <w:color w:val="000000"/>
        </w:rPr>
        <w:t xml:space="preserve"> the existing literature on the linkages between oil price movement and </w:t>
      </w:r>
      <w:r w:rsidR="004156B3">
        <w:rPr>
          <w:rFonts w:ascii="Calibri" w:hAnsi="Calibri"/>
          <w:color w:val="000000"/>
        </w:rPr>
        <w:t>stock prices</w:t>
      </w:r>
      <w:r w:rsidR="00D54F9B">
        <w:rPr>
          <w:rFonts w:ascii="Calibri" w:hAnsi="Calibri"/>
          <w:color w:val="000000"/>
        </w:rPr>
        <w:t xml:space="preserve">. </w:t>
      </w:r>
      <w:r w:rsidR="004156B3">
        <w:rPr>
          <w:rFonts w:ascii="Calibri" w:hAnsi="Calibri"/>
          <w:color w:val="000000"/>
        </w:rPr>
        <w:t>First, we</w:t>
      </w:r>
      <w:r w:rsidR="001361A6">
        <w:rPr>
          <w:rFonts w:ascii="Calibri" w:hAnsi="Calibri"/>
          <w:color w:val="000000"/>
        </w:rPr>
        <w:t xml:space="preserve"> use both the bivariate and multivariate non-parametric approach proposed by Mink </w:t>
      </w:r>
      <w:r w:rsidR="00E1141E" w:rsidRPr="00E1141E">
        <w:rPr>
          <w:rFonts w:ascii="Calibri" w:hAnsi="Calibri"/>
          <w:i/>
          <w:color w:val="000000"/>
        </w:rPr>
        <w:t>et al.</w:t>
      </w:r>
      <w:r w:rsidR="001361A6">
        <w:rPr>
          <w:rFonts w:ascii="Calibri" w:hAnsi="Calibri"/>
          <w:color w:val="000000"/>
        </w:rPr>
        <w:t xml:space="preserve"> (2007) to measure the synchronicity between oil market returns </w:t>
      </w:r>
      <w:r w:rsidR="001361A6">
        <w:rPr>
          <w:rFonts w:ascii="Calibri" w:hAnsi="Calibri"/>
          <w:color w:val="000000"/>
        </w:rPr>
        <w:lastRenderedPageBreak/>
        <w:t>(volatilities) and sectoral/national/regional stock market returns (volatilities) in the GCC.</w:t>
      </w:r>
      <w:r w:rsidR="006C7905">
        <w:rPr>
          <w:rFonts w:ascii="Calibri" w:hAnsi="Calibri"/>
          <w:color w:val="000000"/>
        </w:rPr>
        <w:t xml:space="preserve"> </w:t>
      </w:r>
      <w:r w:rsidR="00F17CC3">
        <w:rPr>
          <w:rFonts w:ascii="Calibri" w:hAnsi="Calibri"/>
          <w:color w:val="000000"/>
        </w:rPr>
        <w:t xml:space="preserve">Second, </w:t>
      </w:r>
      <w:r w:rsidR="00BF37BF">
        <w:rPr>
          <w:rFonts w:ascii="Calibri" w:hAnsi="Calibri"/>
          <w:color w:val="000000"/>
        </w:rPr>
        <w:t xml:space="preserve">we document the extent of synchronization between past </w:t>
      </w:r>
      <w:r w:rsidR="005C2800">
        <w:rPr>
          <w:rFonts w:ascii="Calibri" w:hAnsi="Calibri"/>
          <w:color w:val="000000"/>
        </w:rPr>
        <w:t xml:space="preserve">or </w:t>
      </w:r>
      <w:r w:rsidR="00BF37BF">
        <w:rPr>
          <w:rFonts w:ascii="Calibri" w:hAnsi="Calibri"/>
          <w:color w:val="000000"/>
        </w:rPr>
        <w:t xml:space="preserve">future oil prices and GCC stock prices. Third, </w:t>
      </w:r>
      <w:r w:rsidR="00BB55BE">
        <w:rPr>
          <w:rFonts w:ascii="Calibri" w:hAnsi="Calibri"/>
          <w:color w:val="000000"/>
        </w:rPr>
        <w:t>in search of robustness, we investigate whether GCC stock market dynamics at all levels are governed by a common factor</w:t>
      </w:r>
      <w:r w:rsidR="005C2800">
        <w:rPr>
          <w:rFonts w:ascii="Calibri" w:hAnsi="Calibri"/>
          <w:color w:val="000000"/>
        </w:rPr>
        <w:t>,</w:t>
      </w:r>
      <w:r w:rsidR="00BB55BE">
        <w:rPr>
          <w:rFonts w:ascii="Calibri" w:hAnsi="Calibri"/>
          <w:color w:val="000000"/>
        </w:rPr>
        <w:t xml:space="preserve"> and whether oil price return and volatility can explain th</w:t>
      </w:r>
      <w:r w:rsidR="005C2800">
        <w:rPr>
          <w:rFonts w:ascii="Calibri" w:hAnsi="Calibri"/>
          <w:color w:val="000000"/>
        </w:rPr>
        <w:t>is</w:t>
      </w:r>
      <w:r w:rsidR="00BB55BE">
        <w:rPr>
          <w:rFonts w:ascii="Calibri" w:hAnsi="Calibri"/>
          <w:color w:val="000000"/>
        </w:rPr>
        <w:t xml:space="preserve"> common factor.</w:t>
      </w:r>
      <w:r w:rsidR="00BB55BE">
        <w:rPr>
          <w:rStyle w:val="FootnoteReference"/>
          <w:rFonts w:ascii="Calibri" w:hAnsi="Calibri"/>
          <w:color w:val="000000"/>
        </w:rPr>
        <w:footnoteReference w:id="5"/>
      </w:r>
      <w:r w:rsidR="00BB55BE">
        <w:rPr>
          <w:rFonts w:ascii="Calibri" w:hAnsi="Calibri"/>
          <w:color w:val="000000"/>
        </w:rPr>
        <w:t xml:space="preserve"> To this end, we estimate variants of the dynamic factor model proposed by Stock and Watson (1989, 1991)</w:t>
      </w:r>
      <w:r w:rsidR="00BB55BE">
        <w:rPr>
          <w:rStyle w:val="FootnoteReference"/>
          <w:rFonts w:ascii="Calibri" w:hAnsi="Calibri"/>
          <w:color w:val="000000"/>
        </w:rPr>
        <w:footnoteReference w:id="6"/>
      </w:r>
      <w:r w:rsidR="00BB55BE">
        <w:rPr>
          <w:rFonts w:ascii="Calibri" w:hAnsi="Calibri"/>
          <w:color w:val="000000"/>
        </w:rPr>
        <w:t xml:space="preserve">.  </w:t>
      </w:r>
      <w:r w:rsidR="00BF37BF">
        <w:rPr>
          <w:rFonts w:ascii="Calibri" w:hAnsi="Calibri"/>
          <w:color w:val="000000"/>
        </w:rPr>
        <w:t xml:space="preserve"> In terms of coverage, our paper </w:t>
      </w:r>
      <w:r w:rsidR="005C2800">
        <w:rPr>
          <w:rFonts w:ascii="Calibri" w:hAnsi="Calibri"/>
          <w:color w:val="000000"/>
        </w:rPr>
        <w:t>follows</w:t>
      </w:r>
      <w:r w:rsidR="00BF37BF">
        <w:rPr>
          <w:rFonts w:ascii="Calibri" w:hAnsi="Calibri"/>
          <w:color w:val="000000"/>
        </w:rPr>
        <w:t xml:space="preserve"> Mohanty </w:t>
      </w:r>
      <w:r w:rsidR="00E1141E" w:rsidRPr="00E1141E">
        <w:rPr>
          <w:rFonts w:ascii="Calibri" w:hAnsi="Calibri"/>
          <w:i/>
          <w:color w:val="000000"/>
        </w:rPr>
        <w:t>et al.</w:t>
      </w:r>
      <w:r w:rsidR="00BF37BF">
        <w:rPr>
          <w:rFonts w:ascii="Calibri" w:hAnsi="Calibri"/>
          <w:color w:val="000000"/>
        </w:rPr>
        <w:t xml:space="preserve"> (2011) in using industry-level stock price data for the </w:t>
      </w:r>
      <w:r w:rsidR="00E009FE">
        <w:rPr>
          <w:rFonts w:ascii="Calibri" w:hAnsi="Calibri"/>
          <w:color w:val="000000"/>
        </w:rPr>
        <w:t xml:space="preserve">GCC. </w:t>
      </w:r>
      <w:r w:rsidR="001C1578">
        <w:rPr>
          <w:rFonts w:ascii="Calibri" w:hAnsi="Calibri"/>
          <w:color w:val="000000"/>
        </w:rPr>
        <w:t xml:space="preserve">Mohanty </w:t>
      </w:r>
      <w:r w:rsidR="00E1141E" w:rsidRPr="00E1141E">
        <w:rPr>
          <w:rFonts w:ascii="Calibri" w:hAnsi="Calibri"/>
          <w:i/>
          <w:color w:val="000000"/>
        </w:rPr>
        <w:t>et al.</w:t>
      </w:r>
      <w:r w:rsidR="001C1578">
        <w:rPr>
          <w:rFonts w:ascii="Calibri" w:hAnsi="Calibri"/>
          <w:color w:val="000000"/>
        </w:rPr>
        <w:t xml:space="preserve">’s study only covers Bahrain, Kuwait, Oman and Qatar because </w:t>
      </w:r>
      <w:r w:rsidR="005C2800">
        <w:rPr>
          <w:rFonts w:ascii="Calibri" w:hAnsi="Calibri"/>
          <w:color w:val="000000"/>
        </w:rPr>
        <w:t xml:space="preserve">data covering a </w:t>
      </w:r>
      <w:r w:rsidR="001C1578">
        <w:rPr>
          <w:rFonts w:ascii="Calibri" w:hAnsi="Calibri"/>
          <w:color w:val="000000"/>
        </w:rPr>
        <w:t>sufficiently long</w:t>
      </w:r>
      <w:r w:rsidR="005C2800">
        <w:rPr>
          <w:rFonts w:ascii="Calibri" w:hAnsi="Calibri"/>
          <w:color w:val="000000"/>
        </w:rPr>
        <w:t xml:space="preserve"> </w:t>
      </w:r>
      <w:r w:rsidR="001C1578">
        <w:rPr>
          <w:rFonts w:ascii="Calibri" w:hAnsi="Calibri"/>
          <w:color w:val="000000"/>
        </w:rPr>
        <w:t>period are not available for Saudi Arabia and the UAE in Thomson</w:t>
      </w:r>
      <w:r w:rsidR="00936BF6">
        <w:rPr>
          <w:rFonts w:ascii="Calibri" w:hAnsi="Calibri"/>
          <w:color w:val="000000"/>
        </w:rPr>
        <w:t xml:space="preserve"> Reuters D</w:t>
      </w:r>
      <w:r w:rsidR="001C1578">
        <w:rPr>
          <w:rFonts w:ascii="Calibri" w:hAnsi="Calibri"/>
          <w:color w:val="000000"/>
        </w:rPr>
        <w:t>atabase</w:t>
      </w:r>
      <w:r w:rsidR="005C2800">
        <w:rPr>
          <w:rFonts w:ascii="Calibri" w:hAnsi="Calibri"/>
          <w:color w:val="000000"/>
        </w:rPr>
        <w:t>; however,</w:t>
      </w:r>
      <w:r w:rsidR="00BF37BF">
        <w:rPr>
          <w:rFonts w:ascii="Calibri" w:hAnsi="Calibri"/>
          <w:color w:val="000000"/>
        </w:rPr>
        <w:t xml:space="preserve"> due</w:t>
      </w:r>
      <w:r w:rsidR="005F7701">
        <w:rPr>
          <w:rFonts w:ascii="Calibri" w:hAnsi="Calibri"/>
          <w:color w:val="000000"/>
        </w:rPr>
        <w:t xml:space="preserve"> to its flexibility, </w:t>
      </w:r>
      <w:r w:rsidR="001C1578">
        <w:rPr>
          <w:rFonts w:ascii="Calibri" w:hAnsi="Calibri"/>
          <w:color w:val="000000"/>
        </w:rPr>
        <w:t>our methodology</w:t>
      </w:r>
      <w:r w:rsidR="00BF37BF">
        <w:rPr>
          <w:rFonts w:ascii="Calibri" w:hAnsi="Calibri"/>
          <w:color w:val="000000"/>
        </w:rPr>
        <w:t>,</w:t>
      </w:r>
      <w:r w:rsidR="001C1578">
        <w:rPr>
          <w:rFonts w:ascii="Calibri" w:hAnsi="Calibri"/>
          <w:color w:val="000000"/>
        </w:rPr>
        <w:t xml:space="preserve"> which differs from theirs</w:t>
      </w:r>
      <w:r w:rsidR="00BF37BF">
        <w:rPr>
          <w:rFonts w:ascii="Calibri" w:hAnsi="Calibri"/>
          <w:color w:val="000000"/>
        </w:rPr>
        <w:t>,</w:t>
      </w:r>
      <w:r w:rsidR="001C1578">
        <w:rPr>
          <w:rFonts w:ascii="Calibri" w:hAnsi="Calibri"/>
          <w:color w:val="000000"/>
        </w:rPr>
        <w:t xml:space="preserve"> </w:t>
      </w:r>
      <w:r w:rsidR="005F7701">
        <w:rPr>
          <w:rFonts w:ascii="Calibri" w:hAnsi="Calibri"/>
          <w:color w:val="000000"/>
        </w:rPr>
        <w:t>allows for the inclusion of</w:t>
      </w:r>
      <w:r w:rsidR="00CB6CEB">
        <w:rPr>
          <w:rFonts w:ascii="Calibri" w:hAnsi="Calibri"/>
          <w:color w:val="000000"/>
        </w:rPr>
        <w:t xml:space="preserve"> all </w:t>
      </w:r>
      <w:r w:rsidR="00A56A4C">
        <w:rPr>
          <w:rFonts w:ascii="Calibri" w:hAnsi="Calibri"/>
          <w:color w:val="000000"/>
        </w:rPr>
        <w:t>of</w:t>
      </w:r>
      <w:r w:rsidR="005F7701">
        <w:rPr>
          <w:rFonts w:ascii="Calibri" w:hAnsi="Calibri"/>
          <w:color w:val="000000"/>
        </w:rPr>
        <w:t xml:space="preserve"> the GCC countries in our analysis.</w:t>
      </w:r>
      <w:r w:rsidR="00C36CBC">
        <w:rPr>
          <w:rFonts w:ascii="Calibri" w:hAnsi="Calibri"/>
          <w:color w:val="000000"/>
        </w:rPr>
        <w:t xml:space="preserve"> We are not aware of other papers similar to ours </w:t>
      </w:r>
      <w:r w:rsidR="00CB6CEB">
        <w:rPr>
          <w:rFonts w:ascii="Calibri" w:hAnsi="Calibri"/>
          <w:color w:val="000000"/>
        </w:rPr>
        <w:t xml:space="preserve">in the literature, though Mohanty </w:t>
      </w:r>
      <w:r w:rsidR="00E1141E" w:rsidRPr="00E1141E">
        <w:rPr>
          <w:rFonts w:ascii="Calibri" w:hAnsi="Calibri"/>
          <w:i/>
          <w:color w:val="000000"/>
        </w:rPr>
        <w:t>et al.</w:t>
      </w:r>
      <w:r w:rsidR="005C2800">
        <w:rPr>
          <w:rFonts w:ascii="Calibri" w:hAnsi="Calibri"/>
          <w:color w:val="000000"/>
        </w:rPr>
        <w:t xml:space="preserve">’s </w:t>
      </w:r>
      <w:r w:rsidR="00936BF6">
        <w:rPr>
          <w:rFonts w:ascii="Calibri" w:hAnsi="Calibri"/>
          <w:color w:val="000000"/>
        </w:rPr>
        <w:t>(2011)</w:t>
      </w:r>
      <w:r w:rsidR="00CB6CEB">
        <w:rPr>
          <w:rFonts w:ascii="Calibri" w:hAnsi="Calibri"/>
          <w:color w:val="000000"/>
        </w:rPr>
        <w:t xml:space="preserve"> is</w:t>
      </w:r>
      <w:r w:rsidR="00A56A4C">
        <w:rPr>
          <w:rFonts w:ascii="Calibri" w:hAnsi="Calibri"/>
          <w:color w:val="000000"/>
        </w:rPr>
        <w:t xml:space="preserve"> </w:t>
      </w:r>
      <w:r w:rsidR="00CB6CEB">
        <w:rPr>
          <w:rFonts w:ascii="Calibri" w:hAnsi="Calibri"/>
          <w:color w:val="000000"/>
        </w:rPr>
        <w:t xml:space="preserve">the closest. </w:t>
      </w:r>
    </w:p>
    <w:p w:rsidR="003E0168" w:rsidRDefault="00BD7C9E" w:rsidP="009C1ED7">
      <w:pPr>
        <w:rPr>
          <w:rFonts w:ascii="Calibri" w:hAnsi="Calibri"/>
          <w:color w:val="000000"/>
        </w:rPr>
      </w:pPr>
      <w:r>
        <w:rPr>
          <w:rFonts w:ascii="Calibri" w:hAnsi="Calibri"/>
          <w:color w:val="000000"/>
        </w:rPr>
        <w:t>T</w:t>
      </w:r>
      <w:r w:rsidR="00A56A4C">
        <w:rPr>
          <w:rFonts w:ascii="Calibri" w:hAnsi="Calibri"/>
          <w:color w:val="000000"/>
        </w:rPr>
        <w:t>he results can be summarized as follow</w:t>
      </w:r>
      <w:r w:rsidR="005C2800">
        <w:rPr>
          <w:rFonts w:ascii="Calibri" w:hAnsi="Calibri"/>
          <w:color w:val="000000"/>
        </w:rPr>
        <w:t>s</w:t>
      </w:r>
      <w:r w:rsidR="00A56A4C">
        <w:rPr>
          <w:rFonts w:ascii="Calibri" w:hAnsi="Calibri"/>
          <w:color w:val="000000"/>
        </w:rPr>
        <w:t xml:space="preserve">: </w:t>
      </w:r>
      <w:r w:rsidR="005A3A8E">
        <w:rPr>
          <w:rFonts w:ascii="Calibri" w:hAnsi="Calibri"/>
          <w:color w:val="000000"/>
        </w:rPr>
        <w:t>f</w:t>
      </w:r>
      <w:r>
        <w:rPr>
          <w:rFonts w:ascii="Calibri" w:hAnsi="Calibri"/>
          <w:color w:val="000000"/>
        </w:rPr>
        <w:t xml:space="preserve">or the </w:t>
      </w:r>
      <w:r w:rsidR="008714AF">
        <w:rPr>
          <w:rFonts w:ascii="Calibri" w:hAnsi="Calibri"/>
          <w:color w:val="000000"/>
        </w:rPr>
        <w:t>synchronicity between oil price and sectoral</w:t>
      </w:r>
      <w:r w:rsidR="000C69A7">
        <w:rPr>
          <w:rFonts w:ascii="Calibri" w:hAnsi="Calibri"/>
          <w:color w:val="000000"/>
        </w:rPr>
        <w:t>/national</w:t>
      </w:r>
      <w:r w:rsidR="00595C59">
        <w:rPr>
          <w:rFonts w:ascii="Calibri" w:hAnsi="Calibri"/>
          <w:color w:val="000000"/>
        </w:rPr>
        <w:t xml:space="preserve"> </w:t>
      </w:r>
      <w:r w:rsidR="008714AF">
        <w:rPr>
          <w:rFonts w:ascii="Calibri" w:hAnsi="Calibri"/>
          <w:color w:val="000000"/>
        </w:rPr>
        <w:t>stock market</w:t>
      </w:r>
      <w:r>
        <w:rPr>
          <w:rFonts w:ascii="Calibri" w:hAnsi="Calibri"/>
          <w:color w:val="000000"/>
        </w:rPr>
        <w:t>s, we find the bivariate</w:t>
      </w:r>
      <w:r w:rsidR="00D27A72">
        <w:rPr>
          <w:rFonts w:ascii="Calibri" w:hAnsi="Calibri"/>
          <w:color w:val="000000"/>
        </w:rPr>
        <w:t xml:space="preserve"> synchronicity</w:t>
      </w:r>
      <w:r>
        <w:rPr>
          <w:rFonts w:ascii="Calibri" w:hAnsi="Calibri"/>
          <w:color w:val="000000"/>
        </w:rPr>
        <w:t xml:space="preserve"> measures</w:t>
      </w:r>
      <w:r w:rsidR="008714AF">
        <w:rPr>
          <w:rFonts w:ascii="Calibri" w:hAnsi="Calibri"/>
          <w:color w:val="000000"/>
        </w:rPr>
        <w:t xml:space="preserve"> range from</w:t>
      </w:r>
      <w:r w:rsidR="00D27A72">
        <w:rPr>
          <w:rFonts w:ascii="Calibri" w:hAnsi="Calibri"/>
          <w:color w:val="000000"/>
        </w:rPr>
        <w:t xml:space="preserve"> (a)</w:t>
      </w:r>
      <w:r w:rsidR="008714AF">
        <w:rPr>
          <w:rFonts w:ascii="Calibri" w:hAnsi="Calibri"/>
          <w:color w:val="000000"/>
        </w:rPr>
        <w:t xml:space="preserve"> low (less than 40</w:t>
      </w:r>
      <w:r w:rsidR="005C2800">
        <w:rPr>
          <w:rFonts w:ascii="Calibri" w:hAnsi="Calibri"/>
          <w:color w:val="000000"/>
        </w:rPr>
        <w:t>%</w:t>
      </w:r>
      <w:r w:rsidR="008714AF">
        <w:rPr>
          <w:rFonts w:ascii="Calibri" w:hAnsi="Calibri"/>
          <w:color w:val="000000"/>
        </w:rPr>
        <w:t>) to mild (40</w:t>
      </w:r>
      <w:r w:rsidR="005C2800">
        <w:rPr>
          <w:rFonts w:ascii="Calibri" w:hAnsi="Calibri"/>
          <w:color w:val="000000"/>
        </w:rPr>
        <w:t>–</w:t>
      </w:r>
      <w:r w:rsidR="008714AF">
        <w:rPr>
          <w:rFonts w:ascii="Calibri" w:hAnsi="Calibri"/>
          <w:color w:val="000000"/>
        </w:rPr>
        <w:t>60</w:t>
      </w:r>
      <w:r w:rsidR="005C2800">
        <w:rPr>
          <w:rFonts w:ascii="Calibri" w:hAnsi="Calibri"/>
          <w:color w:val="000000"/>
        </w:rPr>
        <w:t>%</w:t>
      </w:r>
      <w:r w:rsidR="00E009FE">
        <w:rPr>
          <w:rFonts w:ascii="Calibri" w:hAnsi="Calibri"/>
          <w:color w:val="000000"/>
        </w:rPr>
        <w:t>)</w:t>
      </w:r>
      <w:r>
        <w:rPr>
          <w:rFonts w:ascii="Calibri" w:hAnsi="Calibri"/>
          <w:color w:val="000000"/>
        </w:rPr>
        <w:t xml:space="preserve"> for the return </w:t>
      </w:r>
      <w:r w:rsidR="00D27A72">
        <w:rPr>
          <w:rFonts w:ascii="Calibri" w:hAnsi="Calibri"/>
          <w:color w:val="000000"/>
        </w:rPr>
        <w:t>cycles; and (b</w:t>
      </w:r>
      <w:r w:rsidR="00E009FE">
        <w:rPr>
          <w:rFonts w:ascii="Calibri" w:hAnsi="Calibri"/>
          <w:color w:val="000000"/>
        </w:rPr>
        <w:t xml:space="preserve">) </w:t>
      </w:r>
      <w:r w:rsidR="00CB51DF">
        <w:rPr>
          <w:rFonts w:ascii="Calibri" w:hAnsi="Calibri"/>
          <w:color w:val="000000"/>
        </w:rPr>
        <w:t>borderline mild and strong to strong</w:t>
      </w:r>
      <w:r w:rsidR="00D27A72">
        <w:rPr>
          <w:rFonts w:ascii="Calibri" w:hAnsi="Calibri"/>
          <w:color w:val="000000"/>
        </w:rPr>
        <w:t xml:space="preserve"> </w:t>
      </w:r>
      <w:r w:rsidR="00E009FE">
        <w:rPr>
          <w:rFonts w:ascii="Calibri" w:hAnsi="Calibri"/>
          <w:color w:val="000000"/>
        </w:rPr>
        <w:t>(l</w:t>
      </w:r>
      <w:r w:rsidR="00EC5625">
        <w:rPr>
          <w:rFonts w:ascii="Calibri" w:hAnsi="Calibri"/>
          <w:color w:val="000000"/>
        </w:rPr>
        <w:t>ow 60</w:t>
      </w:r>
      <w:r w:rsidR="005C2800">
        <w:rPr>
          <w:rFonts w:ascii="Calibri" w:hAnsi="Calibri"/>
          <w:color w:val="000000"/>
        </w:rPr>
        <w:t>%</w:t>
      </w:r>
      <w:r w:rsidR="00EC5625">
        <w:rPr>
          <w:rFonts w:ascii="Calibri" w:hAnsi="Calibri"/>
          <w:color w:val="000000"/>
        </w:rPr>
        <w:t xml:space="preserve"> range to a high</w:t>
      </w:r>
      <w:r w:rsidR="00E009FE">
        <w:rPr>
          <w:rFonts w:ascii="Calibri" w:hAnsi="Calibri"/>
          <w:color w:val="000000"/>
        </w:rPr>
        <w:t xml:space="preserve"> of </w:t>
      </w:r>
      <w:r w:rsidR="00EC5625">
        <w:rPr>
          <w:rFonts w:ascii="Calibri" w:hAnsi="Calibri"/>
          <w:color w:val="000000"/>
        </w:rPr>
        <w:t>78</w:t>
      </w:r>
      <w:r w:rsidR="005C2800">
        <w:rPr>
          <w:rFonts w:ascii="Calibri" w:hAnsi="Calibri"/>
          <w:color w:val="000000"/>
        </w:rPr>
        <w:t>%</w:t>
      </w:r>
      <w:r w:rsidR="00EC5625">
        <w:rPr>
          <w:rFonts w:ascii="Calibri" w:hAnsi="Calibri"/>
          <w:color w:val="000000"/>
        </w:rPr>
        <w:t>)</w:t>
      </w:r>
      <w:r w:rsidR="00D27A72">
        <w:rPr>
          <w:rFonts w:ascii="Calibri" w:hAnsi="Calibri"/>
          <w:color w:val="000000"/>
        </w:rPr>
        <w:t>.</w:t>
      </w:r>
      <w:r w:rsidR="000C69A7">
        <w:rPr>
          <w:rStyle w:val="FootnoteReference"/>
          <w:rFonts w:ascii="Calibri" w:hAnsi="Calibri"/>
          <w:color w:val="000000"/>
        </w:rPr>
        <w:footnoteReference w:id="7"/>
      </w:r>
      <w:r w:rsidR="00DC7DEB">
        <w:rPr>
          <w:rFonts w:ascii="Calibri" w:hAnsi="Calibri"/>
          <w:color w:val="000000"/>
        </w:rPr>
        <w:t xml:space="preserve"> </w:t>
      </w:r>
      <w:r w:rsidR="00446C28">
        <w:rPr>
          <w:rFonts w:ascii="Calibri" w:hAnsi="Calibri"/>
          <w:color w:val="000000"/>
        </w:rPr>
        <w:t>The multivariate</w:t>
      </w:r>
      <w:r w:rsidR="00E04350">
        <w:rPr>
          <w:rFonts w:ascii="Calibri" w:hAnsi="Calibri"/>
          <w:color w:val="000000"/>
        </w:rPr>
        <w:t xml:space="preserve"> synchronicity measures are</w:t>
      </w:r>
      <w:r w:rsidR="005C2800">
        <w:rPr>
          <w:rFonts w:ascii="Calibri" w:hAnsi="Calibri"/>
          <w:color w:val="000000"/>
        </w:rPr>
        <w:t>,</w:t>
      </w:r>
      <w:r w:rsidR="00446C28">
        <w:rPr>
          <w:rFonts w:ascii="Calibri" w:hAnsi="Calibri"/>
          <w:color w:val="000000"/>
        </w:rPr>
        <w:t xml:space="preserve"> on average</w:t>
      </w:r>
      <w:r w:rsidR="005C2800">
        <w:rPr>
          <w:rFonts w:ascii="Calibri" w:hAnsi="Calibri"/>
          <w:color w:val="000000"/>
        </w:rPr>
        <w:t>,</w:t>
      </w:r>
      <w:r w:rsidR="00446C28">
        <w:rPr>
          <w:rFonts w:ascii="Calibri" w:hAnsi="Calibri"/>
          <w:color w:val="000000"/>
        </w:rPr>
        <w:t xml:space="preserve"> lower than the mean of the bivariate measures</w:t>
      </w:r>
      <w:r w:rsidR="00743E08">
        <w:rPr>
          <w:rFonts w:ascii="Calibri" w:hAnsi="Calibri"/>
          <w:color w:val="000000"/>
        </w:rPr>
        <w:t>,</w:t>
      </w:r>
      <w:r w:rsidR="00E04350">
        <w:rPr>
          <w:rFonts w:ascii="Calibri" w:hAnsi="Calibri"/>
          <w:color w:val="000000"/>
        </w:rPr>
        <w:t xml:space="preserve"> with the</w:t>
      </w:r>
      <w:r w:rsidR="00446C28">
        <w:rPr>
          <w:rFonts w:ascii="Calibri" w:hAnsi="Calibri"/>
          <w:color w:val="000000"/>
        </w:rPr>
        <w:t xml:space="preserve"> 10-day volatility</w:t>
      </w:r>
      <w:r w:rsidR="00E04350">
        <w:rPr>
          <w:rFonts w:ascii="Calibri" w:hAnsi="Calibri"/>
          <w:color w:val="000000"/>
        </w:rPr>
        <w:t xml:space="preserve"> showing a tighter link.</w:t>
      </w:r>
      <w:r w:rsidR="00446C28">
        <w:rPr>
          <w:rFonts w:ascii="Calibri" w:hAnsi="Calibri"/>
          <w:color w:val="000000"/>
        </w:rPr>
        <w:t xml:space="preserve"> </w:t>
      </w:r>
      <w:r w:rsidR="00D27A72">
        <w:rPr>
          <w:rFonts w:ascii="Calibri" w:hAnsi="Calibri"/>
          <w:color w:val="000000"/>
        </w:rPr>
        <w:t xml:space="preserve">It is worth noting </w:t>
      </w:r>
      <w:r w:rsidR="00E04350">
        <w:rPr>
          <w:rFonts w:ascii="Calibri" w:hAnsi="Calibri"/>
          <w:color w:val="000000"/>
        </w:rPr>
        <w:t xml:space="preserve">that </w:t>
      </w:r>
      <w:r w:rsidR="00D27A72">
        <w:rPr>
          <w:rFonts w:ascii="Calibri" w:hAnsi="Calibri"/>
          <w:color w:val="000000"/>
        </w:rPr>
        <w:t>the aggregate GCC sectors follow similar patterns,</w:t>
      </w:r>
      <w:r w:rsidR="00D8349E">
        <w:rPr>
          <w:rFonts w:ascii="Calibri" w:hAnsi="Calibri"/>
          <w:color w:val="000000"/>
        </w:rPr>
        <w:t xml:space="preserve"> </w:t>
      </w:r>
      <w:r w:rsidR="005C2800">
        <w:rPr>
          <w:rFonts w:ascii="Calibri" w:hAnsi="Calibri"/>
          <w:color w:val="000000"/>
        </w:rPr>
        <w:t xml:space="preserve">but </w:t>
      </w:r>
      <w:r w:rsidR="00D8349E">
        <w:rPr>
          <w:rFonts w:ascii="Calibri" w:hAnsi="Calibri"/>
          <w:color w:val="000000"/>
        </w:rPr>
        <w:t xml:space="preserve">the energy sector </w:t>
      </w:r>
      <w:r w:rsidR="00E04350">
        <w:rPr>
          <w:rFonts w:ascii="Calibri" w:hAnsi="Calibri"/>
          <w:color w:val="000000"/>
        </w:rPr>
        <w:t xml:space="preserve">based on the 50-day volatility </w:t>
      </w:r>
      <w:r w:rsidR="00D8349E">
        <w:rPr>
          <w:rFonts w:ascii="Calibri" w:hAnsi="Calibri"/>
          <w:color w:val="000000"/>
        </w:rPr>
        <w:t>is at the borderline of mild and high (59</w:t>
      </w:r>
      <w:r w:rsidR="005C2800">
        <w:rPr>
          <w:rFonts w:ascii="Calibri" w:hAnsi="Calibri"/>
          <w:color w:val="000000"/>
        </w:rPr>
        <w:t>%</w:t>
      </w:r>
      <w:r w:rsidR="00D8349E">
        <w:rPr>
          <w:rFonts w:ascii="Calibri" w:hAnsi="Calibri"/>
          <w:color w:val="000000"/>
        </w:rPr>
        <w:t>)</w:t>
      </w:r>
      <w:r w:rsidR="00E04350" w:rsidRPr="00E04350">
        <w:rPr>
          <w:rFonts w:ascii="Calibri" w:hAnsi="Calibri"/>
          <w:color w:val="000000"/>
        </w:rPr>
        <w:t xml:space="preserve"> </w:t>
      </w:r>
      <w:r w:rsidR="00E04350">
        <w:rPr>
          <w:rFonts w:ascii="Calibri" w:hAnsi="Calibri"/>
          <w:color w:val="000000"/>
        </w:rPr>
        <w:t>synchronization with the oil price</w:t>
      </w:r>
      <w:r w:rsidR="00595C59">
        <w:rPr>
          <w:rFonts w:ascii="Calibri" w:hAnsi="Calibri"/>
          <w:color w:val="000000"/>
        </w:rPr>
        <w:t>.</w:t>
      </w:r>
      <w:r w:rsidR="00D8349E">
        <w:rPr>
          <w:rFonts w:ascii="Calibri" w:hAnsi="Calibri"/>
          <w:color w:val="000000"/>
        </w:rPr>
        <w:t xml:space="preserve"> </w:t>
      </w:r>
      <w:r w:rsidR="00EC5625">
        <w:rPr>
          <w:rFonts w:ascii="Calibri" w:hAnsi="Calibri"/>
          <w:color w:val="000000"/>
        </w:rPr>
        <w:t xml:space="preserve">Saudi </w:t>
      </w:r>
      <w:r w:rsidR="00595C59">
        <w:rPr>
          <w:rFonts w:ascii="Calibri" w:hAnsi="Calibri"/>
          <w:color w:val="000000"/>
        </w:rPr>
        <w:t xml:space="preserve">Arabia’s </w:t>
      </w:r>
      <w:r w:rsidR="00674202">
        <w:rPr>
          <w:rFonts w:ascii="Calibri" w:hAnsi="Calibri"/>
          <w:color w:val="000000"/>
        </w:rPr>
        <w:t>stock</w:t>
      </w:r>
      <w:r w:rsidR="00CD028F">
        <w:rPr>
          <w:rFonts w:ascii="Calibri" w:hAnsi="Calibri"/>
          <w:color w:val="000000"/>
        </w:rPr>
        <w:t xml:space="preserve"> sectors are the most tied to oil price </w:t>
      </w:r>
      <w:r w:rsidR="00595C59">
        <w:rPr>
          <w:rFonts w:ascii="Calibri" w:hAnsi="Calibri"/>
          <w:color w:val="000000"/>
        </w:rPr>
        <w:t xml:space="preserve">in terms of </w:t>
      </w:r>
      <w:r w:rsidR="00CD028F">
        <w:rPr>
          <w:rFonts w:ascii="Calibri" w:hAnsi="Calibri"/>
          <w:color w:val="000000"/>
        </w:rPr>
        <w:t>volatility whether we consider a 10- or a 50-day horizon</w:t>
      </w:r>
      <w:r w:rsidR="00595C59">
        <w:rPr>
          <w:rFonts w:ascii="Calibri" w:hAnsi="Calibri"/>
          <w:color w:val="000000"/>
        </w:rPr>
        <w:t>. I</w:t>
      </w:r>
      <w:r w:rsidR="00DC7DEB">
        <w:rPr>
          <w:rFonts w:ascii="Calibri" w:hAnsi="Calibri"/>
          <w:color w:val="000000"/>
        </w:rPr>
        <w:t>n general</w:t>
      </w:r>
      <w:r w:rsidR="00595C59">
        <w:rPr>
          <w:rFonts w:ascii="Calibri" w:hAnsi="Calibri"/>
          <w:color w:val="000000"/>
        </w:rPr>
        <w:t>,</w:t>
      </w:r>
      <w:r w:rsidR="00DC7DEB">
        <w:rPr>
          <w:rFonts w:ascii="Calibri" w:hAnsi="Calibri"/>
          <w:color w:val="000000"/>
        </w:rPr>
        <w:t xml:space="preserve"> there is less association between individual </w:t>
      </w:r>
      <w:r w:rsidR="00674202">
        <w:rPr>
          <w:rFonts w:ascii="Calibri" w:hAnsi="Calibri"/>
          <w:color w:val="000000"/>
        </w:rPr>
        <w:t>stock</w:t>
      </w:r>
      <w:r w:rsidR="00DC7DEB">
        <w:rPr>
          <w:rFonts w:ascii="Calibri" w:hAnsi="Calibri"/>
          <w:color w:val="000000"/>
        </w:rPr>
        <w:t xml:space="preserve"> return and oil cycles than there is between their volatility cycles. </w:t>
      </w:r>
      <w:r w:rsidR="00E04350">
        <w:rPr>
          <w:rFonts w:ascii="Calibri" w:hAnsi="Calibri"/>
          <w:color w:val="000000"/>
        </w:rPr>
        <w:t xml:space="preserve">These results hold whether we consider the lagged or lead values of the oil price.  </w:t>
      </w:r>
      <w:r w:rsidR="00595C59">
        <w:rPr>
          <w:rFonts w:ascii="Calibri" w:hAnsi="Calibri"/>
          <w:color w:val="000000"/>
        </w:rPr>
        <w:t xml:space="preserve">The </w:t>
      </w:r>
      <w:r w:rsidR="00E04350">
        <w:rPr>
          <w:rFonts w:ascii="Calibri" w:hAnsi="Calibri"/>
          <w:color w:val="000000"/>
        </w:rPr>
        <w:t xml:space="preserve">dynamic factor models reveal that sectoral as well as national </w:t>
      </w:r>
      <w:r w:rsidR="00674202">
        <w:rPr>
          <w:rFonts w:ascii="Calibri" w:hAnsi="Calibri"/>
          <w:color w:val="000000"/>
        </w:rPr>
        <w:t>stock</w:t>
      </w:r>
      <w:r w:rsidR="00E04350">
        <w:rPr>
          <w:rFonts w:ascii="Calibri" w:hAnsi="Calibri"/>
          <w:color w:val="000000"/>
        </w:rPr>
        <w:t xml:space="preserve"> markets in the GCC are governed by a common underlying factor, which is weakly explained by </w:t>
      </w:r>
      <w:r w:rsidR="003E0168">
        <w:rPr>
          <w:rFonts w:ascii="Calibri" w:hAnsi="Calibri"/>
          <w:color w:val="000000"/>
        </w:rPr>
        <w:t>disturbances in oil</w:t>
      </w:r>
      <w:r w:rsidR="00E04350">
        <w:rPr>
          <w:rFonts w:ascii="Calibri" w:hAnsi="Calibri"/>
          <w:color w:val="000000"/>
        </w:rPr>
        <w:t xml:space="preserve"> </w:t>
      </w:r>
      <w:r w:rsidR="003E0168">
        <w:rPr>
          <w:rFonts w:ascii="Calibri" w:hAnsi="Calibri"/>
          <w:color w:val="000000"/>
        </w:rPr>
        <w:t xml:space="preserve">markets. </w:t>
      </w:r>
    </w:p>
    <w:p w:rsidR="003E0168" w:rsidRDefault="003E0168" w:rsidP="009C1ED7">
      <w:pPr>
        <w:rPr>
          <w:rFonts w:ascii="Calibri" w:hAnsi="Calibri"/>
          <w:color w:val="000000"/>
        </w:rPr>
      </w:pPr>
      <w:r>
        <w:rPr>
          <w:rFonts w:ascii="Calibri" w:hAnsi="Calibri"/>
          <w:color w:val="000000"/>
        </w:rPr>
        <w:t xml:space="preserve">The remainder of the paper is organized as follows. Section 2 presents the methodology. Section 3 </w:t>
      </w:r>
      <w:r w:rsidR="00732CE4">
        <w:rPr>
          <w:rFonts w:ascii="Calibri" w:hAnsi="Calibri"/>
          <w:color w:val="000000"/>
        </w:rPr>
        <w:t>describes and analyzes the data. Section 4 discusses the empirical results and summarizes the findings Section 6 concludes the paper.</w:t>
      </w:r>
    </w:p>
    <w:p w:rsidR="00C36CBC" w:rsidRPr="00936BF6" w:rsidRDefault="00732CE4" w:rsidP="005E6E47">
      <w:pPr>
        <w:outlineLvl w:val="0"/>
        <w:rPr>
          <w:rFonts w:ascii="Calibri" w:hAnsi="Calibri"/>
          <w:b/>
          <w:color w:val="000000"/>
        </w:rPr>
      </w:pPr>
      <w:r w:rsidRPr="00936BF6">
        <w:rPr>
          <w:rFonts w:ascii="Calibri" w:hAnsi="Calibri"/>
          <w:b/>
          <w:color w:val="000000"/>
        </w:rPr>
        <w:t>Section 2</w:t>
      </w:r>
      <w:r w:rsidRPr="00936BF6">
        <w:rPr>
          <w:rFonts w:ascii="Calibri" w:hAnsi="Calibri"/>
          <w:b/>
          <w:color w:val="000000"/>
        </w:rPr>
        <w:tab/>
        <w:t>Methodology</w:t>
      </w:r>
    </w:p>
    <w:p w:rsidR="00C95ED6" w:rsidRDefault="00E1141E">
      <w:pPr>
        <w:outlineLvl w:val="1"/>
        <w:rPr>
          <w:rFonts w:ascii="Calibri" w:hAnsi="Calibri"/>
          <w:b/>
          <w:color w:val="000000"/>
        </w:rPr>
      </w:pPr>
      <w:r w:rsidRPr="00E1141E">
        <w:rPr>
          <w:rFonts w:ascii="Calibri" w:hAnsi="Calibri"/>
          <w:b/>
          <w:color w:val="000000"/>
        </w:rPr>
        <w:t xml:space="preserve">2.1 Measuring </w:t>
      </w:r>
      <w:r w:rsidR="005C2800" w:rsidRPr="005C2800">
        <w:rPr>
          <w:rFonts w:ascii="Calibri" w:hAnsi="Calibri"/>
          <w:b/>
          <w:color w:val="000000"/>
        </w:rPr>
        <w:t>synchronicity</w:t>
      </w:r>
    </w:p>
    <w:p w:rsidR="005718EF" w:rsidRDefault="00E91455" w:rsidP="00A27FD4">
      <w:pPr>
        <w:rPr>
          <w:rFonts w:ascii="Calibri" w:hAnsi="Calibri"/>
          <w:color w:val="000000"/>
        </w:rPr>
      </w:pPr>
      <w:r w:rsidRPr="00E91455">
        <w:rPr>
          <w:rFonts w:ascii="Calibri" w:hAnsi="Calibri"/>
          <w:color w:val="000000"/>
        </w:rPr>
        <w:t>The s</w:t>
      </w:r>
      <w:r w:rsidR="00B12E3A">
        <w:rPr>
          <w:rFonts w:ascii="Calibri" w:hAnsi="Calibri"/>
          <w:color w:val="000000"/>
        </w:rPr>
        <w:t>tarting point towards documenting</w:t>
      </w:r>
      <w:r w:rsidRPr="00E91455">
        <w:rPr>
          <w:rFonts w:ascii="Calibri" w:hAnsi="Calibri"/>
          <w:color w:val="000000"/>
        </w:rPr>
        <w:t xml:space="preserve"> </w:t>
      </w:r>
      <w:r w:rsidR="00351189">
        <w:rPr>
          <w:rFonts w:ascii="Calibri" w:hAnsi="Calibri"/>
          <w:color w:val="000000"/>
        </w:rPr>
        <w:t xml:space="preserve">the synchronicity </w:t>
      </w:r>
      <w:r w:rsidR="007A26AF">
        <w:rPr>
          <w:rFonts w:ascii="Calibri" w:hAnsi="Calibri"/>
          <w:color w:val="000000"/>
        </w:rPr>
        <w:t>(</w:t>
      </w:r>
      <w:r w:rsidR="00351189">
        <w:rPr>
          <w:rFonts w:ascii="Calibri" w:hAnsi="Calibri"/>
          <w:color w:val="000000"/>
        </w:rPr>
        <w:t>or lack thereof</w:t>
      </w:r>
      <w:r w:rsidR="007A26AF">
        <w:rPr>
          <w:rFonts w:ascii="Calibri" w:hAnsi="Calibri"/>
          <w:color w:val="000000"/>
        </w:rPr>
        <w:t>)</w:t>
      </w:r>
      <w:r w:rsidR="00351189">
        <w:rPr>
          <w:rFonts w:ascii="Calibri" w:hAnsi="Calibri"/>
          <w:color w:val="000000"/>
        </w:rPr>
        <w:t xml:space="preserve"> between sectoral/national </w:t>
      </w:r>
      <w:r w:rsidR="00674202">
        <w:rPr>
          <w:rFonts w:ascii="Calibri" w:hAnsi="Calibri"/>
          <w:color w:val="000000"/>
        </w:rPr>
        <w:t>stock</w:t>
      </w:r>
      <w:r w:rsidR="00351189">
        <w:rPr>
          <w:rFonts w:ascii="Calibri" w:hAnsi="Calibri"/>
          <w:color w:val="000000"/>
        </w:rPr>
        <w:t xml:space="preserve"> markets and oil markets</w:t>
      </w:r>
      <w:r w:rsidRPr="00E91455">
        <w:rPr>
          <w:rFonts w:ascii="Calibri" w:hAnsi="Calibri"/>
          <w:color w:val="000000"/>
        </w:rPr>
        <w:t xml:space="preserve"> is </w:t>
      </w:r>
      <w:r w:rsidR="007A26AF">
        <w:rPr>
          <w:rFonts w:ascii="Calibri" w:hAnsi="Calibri"/>
          <w:color w:val="000000"/>
        </w:rPr>
        <w:t>to</w:t>
      </w:r>
      <w:r w:rsidR="007A26AF" w:rsidRPr="00E91455">
        <w:rPr>
          <w:rFonts w:ascii="Calibri" w:hAnsi="Calibri"/>
          <w:color w:val="000000"/>
        </w:rPr>
        <w:t xml:space="preserve"> determin</w:t>
      </w:r>
      <w:r w:rsidR="007A26AF">
        <w:rPr>
          <w:rFonts w:ascii="Calibri" w:hAnsi="Calibri"/>
          <w:color w:val="000000"/>
        </w:rPr>
        <w:t xml:space="preserve">e </w:t>
      </w:r>
      <w:r w:rsidR="00351189">
        <w:rPr>
          <w:rFonts w:ascii="Calibri" w:hAnsi="Calibri"/>
          <w:color w:val="000000"/>
        </w:rPr>
        <w:t>a measure of the cyclical fluctuation</w:t>
      </w:r>
      <w:r w:rsidR="00FE5CA7">
        <w:rPr>
          <w:rFonts w:ascii="Calibri" w:hAnsi="Calibri"/>
          <w:color w:val="000000"/>
        </w:rPr>
        <w:t xml:space="preserve">s </w:t>
      </w:r>
      <w:r w:rsidR="007A26AF">
        <w:rPr>
          <w:rFonts w:ascii="Calibri" w:hAnsi="Calibri"/>
          <w:color w:val="000000"/>
        </w:rPr>
        <w:t xml:space="preserve">in </w:t>
      </w:r>
      <w:r w:rsidR="00FE5CA7">
        <w:rPr>
          <w:rFonts w:ascii="Calibri" w:hAnsi="Calibri"/>
          <w:color w:val="000000"/>
        </w:rPr>
        <w:t>both the return and return volatilities of these assets</w:t>
      </w:r>
      <w:r w:rsidRPr="00E91455">
        <w:rPr>
          <w:rFonts w:ascii="Calibri" w:hAnsi="Calibri"/>
          <w:color w:val="000000"/>
        </w:rPr>
        <w:t xml:space="preserve">. </w:t>
      </w:r>
      <w:r w:rsidR="00601386">
        <w:rPr>
          <w:rFonts w:ascii="Calibri" w:hAnsi="Calibri"/>
          <w:color w:val="000000"/>
        </w:rPr>
        <w:t>A</w:t>
      </w:r>
      <w:r w:rsidR="00601386" w:rsidRPr="00E91455">
        <w:rPr>
          <w:rFonts w:ascii="Calibri" w:hAnsi="Calibri"/>
          <w:color w:val="000000"/>
        </w:rPr>
        <w:t xml:space="preserve"> number of</w:t>
      </w:r>
      <w:r w:rsidR="00601386">
        <w:rPr>
          <w:rFonts w:ascii="Calibri" w:hAnsi="Calibri"/>
          <w:color w:val="000000"/>
        </w:rPr>
        <w:t xml:space="preserve"> alternative</w:t>
      </w:r>
      <w:r w:rsidR="00601386" w:rsidRPr="00E91455">
        <w:rPr>
          <w:rFonts w:ascii="Calibri" w:hAnsi="Calibri"/>
          <w:color w:val="000000"/>
        </w:rPr>
        <w:t xml:space="preserve"> techniques are available in the literature to</w:t>
      </w:r>
      <w:r w:rsidR="00601386">
        <w:rPr>
          <w:rFonts w:ascii="Calibri" w:hAnsi="Calibri"/>
          <w:color w:val="000000"/>
        </w:rPr>
        <w:t xml:space="preserve"> extract and </w:t>
      </w:r>
      <w:r w:rsidR="00601386" w:rsidRPr="00E91455">
        <w:rPr>
          <w:rFonts w:ascii="Calibri" w:hAnsi="Calibri"/>
          <w:color w:val="000000"/>
        </w:rPr>
        <w:t xml:space="preserve">investigate the extent of co-movement of the cycles. These include Markov-switching </w:t>
      </w:r>
      <w:r w:rsidR="00601386" w:rsidRPr="00E91455">
        <w:rPr>
          <w:rFonts w:ascii="Calibri" w:hAnsi="Calibri"/>
          <w:color w:val="000000"/>
        </w:rPr>
        <w:lastRenderedPageBreak/>
        <w:t xml:space="preserve">vector autoregression decomposition </w:t>
      </w:r>
      <w:r w:rsidR="007A26AF">
        <w:rPr>
          <w:rFonts w:ascii="Calibri" w:hAnsi="Calibri"/>
          <w:color w:val="000000"/>
        </w:rPr>
        <w:t>(</w:t>
      </w:r>
      <w:r w:rsidR="008B421E">
        <w:rPr>
          <w:rFonts w:ascii="Calibri" w:hAnsi="Calibri"/>
          <w:color w:val="000000"/>
        </w:rPr>
        <w:t xml:space="preserve">Artis </w:t>
      </w:r>
      <w:r w:rsidR="00E1141E" w:rsidRPr="00E1141E">
        <w:rPr>
          <w:rFonts w:ascii="Calibri" w:hAnsi="Calibri"/>
          <w:i/>
          <w:color w:val="000000"/>
        </w:rPr>
        <w:t>et al.</w:t>
      </w:r>
      <w:r w:rsidR="007A26AF">
        <w:rPr>
          <w:rFonts w:ascii="Calibri" w:hAnsi="Calibri"/>
          <w:color w:val="000000"/>
        </w:rPr>
        <w:t>,</w:t>
      </w:r>
      <w:r w:rsidR="00601386" w:rsidRPr="00E91455">
        <w:rPr>
          <w:rFonts w:ascii="Calibri" w:hAnsi="Calibri"/>
          <w:color w:val="000000"/>
        </w:rPr>
        <w:t xml:space="preserve"> </w:t>
      </w:r>
      <w:r w:rsidR="00157B8E">
        <w:rPr>
          <w:rFonts w:ascii="Calibri" w:hAnsi="Calibri"/>
          <w:color w:val="000000"/>
        </w:rPr>
        <w:t>2004</w:t>
      </w:r>
      <w:r w:rsidR="007A26AF" w:rsidRPr="00E91455">
        <w:rPr>
          <w:rFonts w:ascii="Calibri" w:hAnsi="Calibri"/>
          <w:color w:val="000000"/>
        </w:rPr>
        <w:t xml:space="preserve"> </w:t>
      </w:r>
      <w:r w:rsidR="00601386" w:rsidRPr="00E91455">
        <w:rPr>
          <w:rFonts w:ascii="Calibri" w:hAnsi="Calibri"/>
          <w:color w:val="000000"/>
        </w:rPr>
        <w:t>Krolzig</w:t>
      </w:r>
      <w:r w:rsidR="007A26AF">
        <w:rPr>
          <w:rFonts w:ascii="Calibri" w:hAnsi="Calibri"/>
          <w:color w:val="000000"/>
        </w:rPr>
        <w:t>,</w:t>
      </w:r>
      <w:r w:rsidR="00601386" w:rsidRPr="00E91455">
        <w:rPr>
          <w:rFonts w:ascii="Calibri" w:hAnsi="Calibri"/>
          <w:color w:val="000000"/>
        </w:rPr>
        <w:t xml:space="preserve"> 1997a, 1997b, 2005</w:t>
      </w:r>
      <w:r w:rsidR="007A26AF">
        <w:rPr>
          <w:rFonts w:ascii="Calibri" w:hAnsi="Calibri"/>
          <w:color w:val="000000"/>
        </w:rPr>
        <w:t>;</w:t>
      </w:r>
      <w:r w:rsidR="007A26AF" w:rsidRPr="00E91455">
        <w:rPr>
          <w:rFonts w:ascii="Calibri" w:hAnsi="Calibri"/>
          <w:color w:val="000000"/>
        </w:rPr>
        <w:t xml:space="preserve"> </w:t>
      </w:r>
      <w:r w:rsidR="00601386" w:rsidRPr="00E91455">
        <w:rPr>
          <w:rFonts w:ascii="Calibri" w:hAnsi="Calibri"/>
          <w:color w:val="000000"/>
        </w:rPr>
        <w:t>Krolzig and Sensier</w:t>
      </w:r>
      <w:r w:rsidR="007A26AF">
        <w:rPr>
          <w:rFonts w:ascii="Calibri" w:hAnsi="Calibri"/>
          <w:color w:val="000000"/>
        </w:rPr>
        <w:t>,</w:t>
      </w:r>
      <w:r w:rsidR="00601386" w:rsidRPr="00E91455">
        <w:rPr>
          <w:rFonts w:ascii="Calibri" w:hAnsi="Calibri"/>
          <w:color w:val="000000"/>
        </w:rPr>
        <w:t xml:space="preserve"> 2000), cointegration analysis </w:t>
      </w:r>
      <w:r w:rsidR="007A26AF">
        <w:rPr>
          <w:rFonts w:ascii="Calibri" w:hAnsi="Calibri"/>
          <w:color w:val="000000"/>
        </w:rPr>
        <w:t>(</w:t>
      </w:r>
      <w:r w:rsidR="00601386" w:rsidRPr="00E91455">
        <w:rPr>
          <w:rFonts w:ascii="Calibri" w:hAnsi="Calibri" w:hint="eastAsia"/>
          <w:color w:val="000000"/>
        </w:rPr>
        <w:t>Engle and Granger</w:t>
      </w:r>
      <w:r w:rsidR="007A26AF">
        <w:rPr>
          <w:rFonts w:ascii="Calibri" w:hAnsi="Calibri"/>
          <w:color w:val="000000"/>
        </w:rPr>
        <w:t>,</w:t>
      </w:r>
      <w:r w:rsidR="00601386" w:rsidRPr="00E91455">
        <w:rPr>
          <w:rFonts w:ascii="Calibri" w:hAnsi="Calibri" w:hint="eastAsia"/>
          <w:color w:val="000000"/>
        </w:rPr>
        <w:t xml:space="preserve"> 1987</w:t>
      </w:r>
      <w:r w:rsidR="007A26AF">
        <w:rPr>
          <w:rFonts w:ascii="Calibri" w:hAnsi="Calibri"/>
          <w:color w:val="000000"/>
        </w:rPr>
        <w:t>;</w:t>
      </w:r>
      <w:r w:rsidR="007A26AF" w:rsidRPr="00E91455">
        <w:rPr>
          <w:rFonts w:ascii="Calibri" w:hAnsi="Calibri" w:hint="eastAsia"/>
          <w:color w:val="000000"/>
        </w:rPr>
        <w:t xml:space="preserve"> </w:t>
      </w:r>
      <w:r w:rsidR="00601386" w:rsidRPr="00E91455">
        <w:rPr>
          <w:rFonts w:ascii="Calibri" w:hAnsi="Calibri" w:hint="eastAsia"/>
          <w:color w:val="000000"/>
        </w:rPr>
        <w:t>Stock and Watson</w:t>
      </w:r>
      <w:r w:rsidR="007A26AF">
        <w:rPr>
          <w:rFonts w:ascii="Calibri" w:hAnsi="Calibri"/>
          <w:color w:val="000000"/>
        </w:rPr>
        <w:t>,</w:t>
      </w:r>
      <w:r w:rsidR="00601386" w:rsidRPr="00E91455">
        <w:rPr>
          <w:rFonts w:ascii="Calibri" w:hAnsi="Calibri" w:hint="eastAsia"/>
          <w:color w:val="000000"/>
        </w:rPr>
        <w:t xml:space="preserve"> 1988</w:t>
      </w:r>
      <w:r w:rsidR="007A26AF">
        <w:rPr>
          <w:rFonts w:ascii="Calibri" w:hAnsi="Calibri"/>
          <w:color w:val="000000"/>
        </w:rPr>
        <w:t>;</w:t>
      </w:r>
      <w:r w:rsidR="007A26AF" w:rsidRPr="00E91455">
        <w:rPr>
          <w:rFonts w:ascii="Calibri" w:hAnsi="Calibri" w:hint="eastAsia"/>
          <w:color w:val="000000"/>
        </w:rPr>
        <w:t xml:space="preserve"> </w:t>
      </w:r>
      <w:r w:rsidR="00601386" w:rsidRPr="00E91455">
        <w:rPr>
          <w:rFonts w:ascii="Calibri" w:hAnsi="Calibri" w:hint="eastAsia"/>
          <w:color w:val="000000"/>
        </w:rPr>
        <w:t>Johansen</w:t>
      </w:r>
      <w:r w:rsidR="007A26AF">
        <w:rPr>
          <w:rFonts w:ascii="Calibri" w:hAnsi="Calibri"/>
          <w:color w:val="000000"/>
        </w:rPr>
        <w:t xml:space="preserve">, </w:t>
      </w:r>
      <w:r w:rsidR="00601386" w:rsidRPr="00E91455">
        <w:rPr>
          <w:rFonts w:ascii="Calibri" w:hAnsi="Calibri" w:hint="eastAsia"/>
          <w:color w:val="000000"/>
        </w:rPr>
        <w:t>1988, 1991)</w:t>
      </w:r>
      <w:r w:rsidR="00601386" w:rsidRPr="00E91455">
        <w:rPr>
          <w:rFonts w:ascii="Calibri" w:hAnsi="Calibri"/>
          <w:color w:val="000000"/>
        </w:rPr>
        <w:t>, test</w:t>
      </w:r>
      <w:r w:rsidR="007A26AF">
        <w:rPr>
          <w:rFonts w:ascii="Calibri" w:hAnsi="Calibri"/>
          <w:color w:val="000000"/>
        </w:rPr>
        <w:t>ing</w:t>
      </w:r>
      <w:r w:rsidR="00601386" w:rsidRPr="00E91455">
        <w:rPr>
          <w:rFonts w:ascii="Calibri" w:hAnsi="Calibri"/>
          <w:color w:val="000000"/>
        </w:rPr>
        <w:t xml:space="preserve"> for common features </w:t>
      </w:r>
      <w:r w:rsidR="007A26AF">
        <w:rPr>
          <w:rFonts w:ascii="Calibri" w:hAnsi="Calibri"/>
          <w:color w:val="000000"/>
        </w:rPr>
        <w:t>(</w:t>
      </w:r>
      <w:r w:rsidR="00601386" w:rsidRPr="00E91455">
        <w:rPr>
          <w:rFonts w:ascii="Calibri" w:hAnsi="Calibri"/>
          <w:color w:val="000000"/>
        </w:rPr>
        <w:t>Engel and Kozicki</w:t>
      </w:r>
      <w:r w:rsidR="007A26AF">
        <w:rPr>
          <w:rFonts w:ascii="Calibri" w:hAnsi="Calibri"/>
          <w:color w:val="000000"/>
        </w:rPr>
        <w:t>,</w:t>
      </w:r>
      <w:r w:rsidR="00601386" w:rsidRPr="00E91455">
        <w:rPr>
          <w:rFonts w:ascii="Calibri" w:hAnsi="Calibri"/>
          <w:color w:val="000000"/>
        </w:rPr>
        <w:t xml:space="preserve"> 1993), </w:t>
      </w:r>
      <w:r w:rsidR="007A26AF">
        <w:rPr>
          <w:rFonts w:ascii="Calibri" w:hAnsi="Calibri"/>
          <w:color w:val="000000"/>
        </w:rPr>
        <w:t xml:space="preserve">and </w:t>
      </w:r>
      <w:r w:rsidR="00601386" w:rsidRPr="00E91455">
        <w:rPr>
          <w:rFonts w:ascii="Calibri" w:hAnsi="Calibri"/>
          <w:color w:val="000000"/>
        </w:rPr>
        <w:t xml:space="preserve">tests for </w:t>
      </w:r>
      <w:r w:rsidR="00601386" w:rsidRPr="00E91455">
        <w:rPr>
          <w:rFonts w:ascii="Calibri" w:hAnsi="Calibri" w:hint="eastAsia"/>
          <w:color w:val="000000"/>
        </w:rPr>
        <w:t xml:space="preserve">common trends and common cycles </w:t>
      </w:r>
      <w:r w:rsidR="007A26AF">
        <w:rPr>
          <w:rFonts w:ascii="Calibri" w:hAnsi="Calibri"/>
          <w:color w:val="000000"/>
        </w:rPr>
        <w:t>(</w:t>
      </w:r>
      <w:r w:rsidR="00601386" w:rsidRPr="00E91455">
        <w:rPr>
          <w:rFonts w:ascii="Calibri" w:hAnsi="Calibri" w:hint="eastAsia"/>
          <w:color w:val="000000"/>
        </w:rPr>
        <w:t>Beveridge and Nelson</w:t>
      </w:r>
      <w:r w:rsidR="007A26AF">
        <w:rPr>
          <w:rFonts w:ascii="Calibri" w:hAnsi="Calibri"/>
          <w:color w:val="000000"/>
        </w:rPr>
        <w:t>,</w:t>
      </w:r>
      <w:r w:rsidR="00601386" w:rsidRPr="00E91455">
        <w:rPr>
          <w:rFonts w:ascii="Calibri" w:hAnsi="Calibri" w:hint="eastAsia"/>
          <w:color w:val="000000"/>
        </w:rPr>
        <w:t xml:space="preserve"> 1981</w:t>
      </w:r>
      <w:r w:rsidR="007A26AF">
        <w:rPr>
          <w:rFonts w:ascii="Calibri" w:hAnsi="Calibri"/>
          <w:color w:val="000000"/>
        </w:rPr>
        <w:t>;</w:t>
      </w:r>
      <w:r w:rsidR="007A26AF" w:rsidRPr="00E91455">
        <w:rPr>
          <w:rFonts w:ascii="Calibri" w:hAnsi="Calibri" w:hint="eastAsia"/>
          <w:color w:val="000000"/>
        </w:rPr>
        <w:t xml:space="preserve"> </w:t>
      </w:r>
      <w:r w:rsidR="00601386" w:rsidRPr="00E91455">
        <w:rPr>
          <w:rFonts w:ascii="Calibri" w:hAnsi="Calibri" w:hint="eastAsia"/>
          <w:color w:val="000000"/>
        </w:rPr>
        <w:t>Vahid and Engle</w:t>
      </w:r>
      <w:r w:rsidR="007A26AF">
        <w:rPr>
          <w:rFonts w:ascii="Calibri" w:hAnsi="Calibri"/>
          <w:color w:val="000000"/>
        </w:rPr>
        <w:t>,</w:t>
      </w:r>
      <w:r w:rsidR="00601386" w:rsidRPr="00E91455">
        <w:rPr>
          <w:rFonts w:ascii="Calibri" w:hAnsi="Calibri" w:hint="eastAsia"/>
          <w:color w:val="000000"/>
        </w:rPr>
        <w:t xml:space="preserve"> 1993</w:t>
      </w:r>
      <w:r w:rsidR="007A26AF">
        <w:rPr>
          <w:rFonts w:ascii="Calibri" w:hAnsi="Calibri"/>
          <w:color w:val="000000"/>
        </w:rPr>
        <w:t>;</w:t>
      </w:r>
      <w:r w:rsidR="007A26AF" w:rsidRPr="00E91455">
        <w:rPr>
          <w:rFonts w:ascii="Calibri" w:hAnsi="Calibri" w:hint="eastAsia"/>
          <w:color w:val="000000"/>
        </w:rPr>
        <w:t xml:space="preserve"> </w:t>
      </w:r>
      <w:r w:rsidR="00601386" w:rsidRPr="00E91455">
        <w:rPr>
          <w:rFonts w:ascii="Calibri" w:hAnsi="Calibri" w:hint="eastAsia"/>
          <w:color w:val="000000"/>
        </w:rPr>
        <w:t>Engle and Issler</w:t>
      </w:r>
      <w:r w:rsidR="007A26AF">
        <w:rPr>
          <w:rFonts w:ascii="Calibri" w:hAnsi="Calibri"/>
          <w:color w:val="000000"/>
        </w:rPr>
        <w:t>,</w:t>
      </w:r>
      <w:r w:rsidR="00601386" w:rsidRPr="00E91455">
        <w:rPr>
          <w:rFonts w:ascii="Calibri" w:hAnsi="Calibri" w:hint="eastAsia"/>
          <w:color w:val="000000"/>
        </w:rPr>
        <w:t xml:space="preserve"> 1995)</w:t>
      </w:r>
      <w:r w:rsidR="00601386" w:rsidRPr="00E91455">
        <w:rPr>
          <w:rFonts w:ascii="Calibri" w:hAnsi="Calibri"/>
          <w:color w:val="000000"/>
        </w:rPr>
        <w:t>.</w:t>
      </w:r>
      <w:r w:rsidR="006D5A4A">
        <w:rPr>
          <w:rFonts w:ascii="Calibri" w:hAnsi="Calibri"/>
          <w:color w:val="000000"/>
        </w:rPr>
        <w:t xml:space="preserve"> Nonetheless, due to its simplicity and popularity, </w:t>
      </w:r>
      <w:r w:rsidRPr="00E91455">
        <w:rPr>
          <w:rFonts w:ascii="Calibri" w:hAnsi="Calibri"/>
          <w:color w:val="000000"/>
        </w:rPr>
        <w:t>we use the Hodrick and Prescott (1997) nonparametric filter to decompose</w:t>
      </w:r>
      <w:r w:rsidR="00FE5CA7">
        <w:rPr>
          <w:rFonts w:ascii="Calibri" w:hAnsi="Calibri"/>
          <w:color w:val="000000"/>
        </w:rPr>
        <w:t xml:space="preserve"> returns and volatilities in</w:t>
      </w:r>
      <w:r w:rsidRPr="00E91455">
        <w:rPr>
          <w:rFonts w:ascii="Calibri" w:hAnsi="Calibri"/>
          <w:color w:val="000000"/>
        </w:rPr>
        <w:t>to a trend</w:t>
      </w:r>
      <w:r w:rsidR="00FE5CA7">
        <w:rPr>
          <w:rFonts w:ascii="Calibri" w:hAnsi="Calibri"/>
          <w:color w:val="000000"/>
        </w:rPr>
        <w:t xml:space="preserve"> (</w:t>
      </w:r>
      <w:r w:rsidR="007A26AF">
        <w:rPr>
          <w:rFonts w:ascii="Calibri" w:hAnsi="Calibri"/>
          <w:color w:val="000000"/>
        </w:rPr>
        <w:t xml:space="preserve">the </w:t>
      </w:r>
      <w:r w:rsidR="00FE5CA7">
        <w:rPr>
          <w:rFonts w:ascii="Calibri" w:hAnsi="Calibri"/>
          <w:color w:val="000000"/>
        </w:rPr>
        <w:t>p</w:t>
      </w:r>
      <w:r w:rsidR="00351189">
        <w:rPr>
          <w:rFonts w:ascii="Calibri" w:hAnsi="Calibri"/>
          <w:color w:val="000000"/>
        </w:rPr>
        <w:t>ermanent component)</w:t>
      </w:r>
      <w:r w:rsidRPr="00E91455">
        <w:rPr>
          <w:rFonts w:ascii="Calibri" w:hAnsi="Calibri"/>
          <w:color w:val="000000"/>
        </w:rPr>
        <w:t xml:space="preserve"> and a cycle</w:t>
      </w:r>
      <w:r w:rsidR="00351189">
        <w:rPr>
          <w:rFonts w:ascii="Calibri" w:hAnsi="Calibri"/>
          <w:color w:val="000000"/>
        </w:rPr>
        <w:t xml:space="preserve"> (</w:t>
      </w:r>
      <w:r w:rsidR="007A26AF">
        <w:rPr>
          <w:rFonts w:ascii="Calibri" w:hAnsi="Calibri"/>
          <w:color w:val="000000"/>
        </w:rPr>
        <w:t xml:space="preserve">a </w:t>
      </w:r>
      <w:r w:rsidR="00351189">
        <w:rPr>
          <w:rFonts w:ascii="Calibri" w:hAnsi="Calibri"/>
          <w:color w:val="000000"/>
        </w:rPr>
        <w:t>transitory component)</w:t>
      </w:r>
      <w:r w:rsidRPr="00E91455">
        <w:rPr>
          <w:rFonts w:ascii="Calibri" w:hAnsi="Calibri"/>
          <w:color w:val="000000"/>
        </w:rPr>
        <w:t xml:space="preserve">, where the trend is the </w:t>
      </w:r>
      <w:r w:rsidR="00B72CA1">
        <w:rPr>
          <w:rFonts w:ascii="Calibri" w:hAnsi="Calibri"/>
          <w:color w:val="000000"/>
        </w:rPr>
        <w:t>long-term return</w:t>
      </w:r>
      <w:r w:rsidRPr="00E91455">
        <w:rPr>
          <w:rFonts w:ascii="Calibri" w:hAnsi="Calibri"/>
          <w:color w:val="000000"/>
        </w:rPr>
        <w:t xml:space="preserve"> and the cycle is </w:t>
      </w:r>
      <w:r w:rsidR="00B72CA1">
        <w:rPr>
          <w:rFonts w:ascii="Calibri" w:hAnsi="Calibri"/>
          <w:color w:val="000000"/>
        </w:rPr>
        <w:t xml:space="preserve">the deviation of </w:t>
      </w:r>
      <w:r w:rsidR="007A26AF">
        <w:rPr>
          <w:rFonts w:ascii="Calibri" w:hAnsi="Calibri"/>
          <w:color w:val="000000"/>
        </w:rPr>
        <w:t xml:space="preserve">the </w:t>
      </w:r>
      <w:r w:rsidR="00B72CA1">
        <w:rPr>
          <w:rFonts w:ascii="Calibri" w:hAnsi="Calibri"/>
          <w:color w:val="000000"/>
        </w:rPr>
        <w:t>actual return from its trend, which may arise due to speculation and uncertainty</w:t>
      </w:r>
      <w:r w:rsidRPr="00E91455">
        <w:rPr>
          <w:rFonts w:ascii="Calibri" w:hAnsi="Calibri"/>
          <w:color w:val="000000"/>
        </w:rPr>
        <w:t>.</w:t>
      </w:r>
      <w:r w:rsidR="006E32FC">
        <w:rPr>
          <w:rStyle w:val="FootnoteReference"/>
          <w:rFonts w:ascii="Calibri" w:hAnsi="Calibri"/>
          <w:color w:val="000000"/>
        </w:rPr>
        <w:footnoteReference w:id="8"/>
      </w:r>
      <w:r w:rsidRPr="00E91455">
        <w:rPr>
          <w:rFonts w:ascii="Calibri" w:hAnsi="Calibri"/>
          <w:color w:val="000000"/>
        </w:rPr>
        <w:t xml:space="preserve"> </w:t>
      </w:r>
      <w:r w:rsidR="00B72CA1">
        <w:rPr>
          <w:rFonts w:ascii="Calibri" w:hAnsi="Calibri"/>
          <w:color w:val="000000"/>
        </w:rPr>
        <w:t>The gap between the two returns (volatilities)</w:t>
      </w:r>
      <w:r w:rsidRPr="00E91455">
        <w:rPr>
          <w:rFonts w:ascii="Calibri" w:hAnsi="Calibri"/>
          <w:color w:val="000000"/>
        </w:rPr>
        <w:t xml:space="preserve"> is calculated as the ratio of </w:t>
      </w:r>
      <w:r w:rsidR="007A26AF">
        <w:rPr>
          <w:rFonts w:ascii="Calibri" w:hAnsi="Calibri"/>
          <w:color w:val="000000"/>
        </w:rPr>
        <w:t xml:space="preserve">the </w:t>
      </w:r>
      <w:r w:rsidRPr="00E91455">
        <w:rPr>
          <w:rFonts w:ascii="Calibri" w:hAnsi="Calibri"/>
          <w:color w:val="000000"/>
        </w:rPr>
        <w:t xml:space="preserve">cycle over </w:t>
      </w:r>
      <w:r w:rsidR="007A26AF">
        <w:rPr>
          <w:rFonts w:ascii="Calibri" w:hAnsi="Calibri"/>
          <w:color w:val="000000"/>
        </w:rPr>
        <w:t xml:space="preserve">the </w:t>
      </w:r>
      <w:r w:rsidRPr="00E91455">
        <w:rPr>
          <w:rFonts w:ascii="Calibri" w:hAnsi="Calibri"/>
          <w:color w:val="000000"/>
        </w:rPr>
        <w:t>trend for each</w:t>
      </w:r>
      <w:r w:rsidR="00B72CA1">
        <w:rPr>
          <w:rFonts w:ascii="Calibri" w:hAnsi="Calibri"/>
          <w:color w:val="000000"/>
        </w:rPr>
        <w:t xml:space="preserve"> sector or national</w:t>
      </w:r>
      <w:r w:rsidR="006E32FC">
        <w:rPr>
          <w:rFonts w:ascii="Calibri" w:hAnsi="Calibri"/>
          <w:color w:val="000000"/>
        </w:rPr>
        <w:t xml:space="preserve"> </w:t>
      </w:r>
      <w:r w:rsidR="00674202">
        <w:rPr>
          <w:rFonts w:ascii="Calibri" w:hAnsi="Calibri"/>
          <w:color w:val="000000"/>
        </w:rPr>
        <w:t>stock</w:t>
      </w:r>
      <w:r w:rsidR="00B72CA1">
        <w:rPr>
          <w:rFonts w:ascii="Calibri" w:hAnsi="Calibri"/>
          <w:color w:val="000000"/>
        </w:rPr>
        <w:t xml:space="preserve"> </w:t>
      </w:r>
      <w:r w:rsidR="00CB51DF">
        <w:rPr>
          <w:rFonts w:ascii="Calibri" w:hAnsi="Calibri"/>
          <w:color w:val="000000"/>
        </w:rPr>
        <w:t>index</w:t>
      </w:r>
      <w:r w:rsidR="007A26AF">
        <w:rPr>
          <w:rFonts w:ascii="Calibri" w:hAnsi="Calibri"/>
          <w:color w:val="000000"/>
        </w:rPr>
        <w:t>,</w:t>
      </w:r>
      <w:r w:rsidR="00CB51DF">
        <w:rPr>
          <w:rFonts w:ascii="Calibri" w:hAnsi="Calibri"/>
          <w:color w:val="000000"/>
        </w:rPr>
        <w:t xml:space="preserve"> and</w:t>
      </w:r>
      <w:r w:rsidR="006E32FC">
        <w:rPr>
          <w:rFonts w:ascii="Calibri" w:hAnsi="Calibri"/>
          <w:color w:val="000000"/>
        </w:rPr>
        <w:t xml:space="preserve"> the oil price</w:t>
      </w:r>
      <w:r w:rsidRPr="00E91455">
        <w:rPr>
          <w:rFonts w:ascii="Calibri" w:hAnsi="Calibri"/>
          <w:color w:val="000000"/>
        </w:rPr>
        <w:t xml:space="preserve">. In addition to the conventional correlation, a few non-parametric tests have </w:t>
      </w:r>
      <w:r w:rsidR="007A26AF" w:rsidRPr="00E91455">
        <w:rPr>
          <w:rFonts w:ascii="Calibri" w:hAnsi="Calibri"/>
          <w:color w:val="000000"/>
        </w:rPr>
        <w:t>recently</w:t>
      </w:r>
      <w:r w:rsidR="007A26AF">
        <w:rPr>
          <w:rFonts w:ascii="Calibri" w:hAnsi="Calibri"/>
          <w:color w:val="000000"/>
        </w:rPr>
        <w:t xml:space="preserve"> </w:t>
      </w:r>
      <w:r w:rsidRPr="00E91455">
        <w:rPr>
          <w:rFonts w:ascii="Calibri" w:hAnsi="Calibri"/>
          <w:color w:val="000000"/>
        </w:rPr>
        <w:t xml:space="preserve">been developed </w:t>
      </w:r>
      <w:r w:rsidR="00FF296F">
        <w:rPr>
          <w:rFonts w:ascii="Calibri" w:hAnsi="Calibri"/>
          <w:color w:val="000000"/>
        </w:rPr>
        <w:t>to measure the</w:t>
      </w:r>
      <w:r w:rsidRPr="00E91455">
        <w:rPr>
          <w:rFonts w:ascii="Calibri" w:hAnsi="Calibri"/>
          <w:color w:val="000000"/>
        </w:rPr>
        <w:t xml:space="preserve"> synchronization</w:t>
      </w:r>
      <w:r w:rsidR="00FF296F">
        <w:rPr>
          <w:rFonts w:ascii="Calibri" w:hAnsi="Calibri"/>
          <w:color w:val="000000"/>
        </w:rPr>
        <w:t xml:space="preserve"> of the cycles</w:t>
      </w:r>
      <w:r w:rsidRPr="00E91455">
        <w:rPr>
          <w:rFonts w:ascii="Calibri" w:hAnsi="Calibri"/>
          <w:color w:val="000000"/>
        </w:rPr>
        <w:t xml:space="preserve">. </w:t>
      </w:r>
      <w:r w:rsidR="00452959">
        <w:rPr>
          <w:rFonts w:ascii="Calibri" w:hAnsi="Calibri"/>
          <w:color w:val="000000"/>
        </w:rPr>
        <w:t>These measures</w:t>
      </w:r>
      <w:r w:rsidR="005718EF">
        <w:rPr>
          <w:rFonts w:ascii="Calibri" w:hAnsi="Calibri"/>
          <w:color w:val="000000"/>
        </w:rPr>
        <w:t xml:space="preserve"> (SYNCH)</w:t>
      </w:r>
      <w:r w:rsidR="00452959">
        <w:rPr>
          <w:rFonts w:ascii="Calibri" w:hAnsi="Calibri"/>
          <w:color w:val="000000"/>
        </w:rPr>
        <w:t xml:space="preserve"> can be easily tailored to the variables at hand. For example</w:t>
      </w:r>
      <w:r w:rsidRPr="00E91455">
        <w:rPr>
          <w:rFonts w:ascii="Calibri" w:hAnsi="Calibri"/>
          <w:color w:val="000000"/>
        </w:rPr>
        <w:t xml:space="preserve">, </w:t>
      </w:r>
      <w:r w:rsidR="00A27FD4" w:rsidRPr="00E91455">
        <w:rPr>
          <w:rFonts w:ascii="Calibri" w:hAnsi="Calibri"/>
          <w:color w:val="000000"/>
        </w:rPr>
        <w:t>Giann</w:t>
      </w:r>
      <w:r w:rsidR="00A27FD4">
        <w:rPr>
          <w:rFonts w:ascii="Calibri" w:hAnsi="Calibri"/>
          <w:color w:val="000000"/>
        </w:rPr>
        <w:t>one</w:t>
      </w:r>
      <w:r w:rsidR="007A26AF">
        <w:rPr>
          <w:rFonts w:ascii="Calibri" w:hAnsi="Calibri"/>
          <w:color w:val="000000"/>
        </w:rPr>
        <w:t xml:space="preserve"> </w:t>
      </w:r>
      <w:r w:rsidR="00E1141E" w:rsidRPr="00E1141E">
        <w:rPr>
          <w:rFonts w:ascii="Calibri" w:hAnsi="Calibri"/>
          <w:i/>
          <w:color w:val="000000"/>
        </w:rPr>
        <w:t>et al.</w:t>
      </w:r>
      <w:r w:rsidR="00452959">
        <w:rPr>
          <w:rFonts w:ascii="Calibri" w:hAnsi="Calibri"/>
          <w:color w:val="000000"/>
        </w:rPr>
        <w:t>’s</w:t>
      </w:r>
      <w:r w:rsidR="00A27FD4">
        <w:rPr>
          <w:rFonts w:ascii="Calibri" w:hAnsi="Calibri"/>
          <w:color w:val="000000"/>
        </w:rPr>
        <w:t xml:space="preserve"> (200</w:t>
      </w:r>
      <w:r w:rsidR="00157B8E">
        <w:rPr>
          <w:rFonts w:ascii="Calibri" w:hAnsi="Calibri"/>
          <w:color w:val="000000"/>
        </w:rPr>
        <w:t>8</w:t>
      </w:r>
      <w:r w:rsidR="00A27FD4">
        <w:rPr>
          <w:rFonts w:ascii="Calibri" w:hAnsi="Calibri"/>
          <w:color w:val="000000"/>
        </w:rPr>
        <w:t>)</w:t>
      </w:r>
      <w:r w:rsidR="00E2366B">
        <w:rPr>
          <w:rFonts w:ascii="Calibri" w:hAnsi="Calibri"/>
          <w:color w:val="000000"/>
        </w:rPr>
        <w:t xml:space="preserve"> synchronicity measure</w:t>
      </w:r>
      <w:r w:rsidR="00452959">
        <w:rPr>
          <w:rFonts w:ascii="Calibri" w:hAnsi="Calibri"/>
          <w:color w:val="000000"/>
        </w:rPr>
        <w:t xml:space="preserve"> can be redefined as </w:t>
      </w:r>
      <w:r w:rsidR="00A27FD4" w:rsidRPr="00E91455">
        <w:rPr>
          <w:rFonts w:ascii="Calibri" w:hAnsi="Calibri"/>
          <w:color w:val="000000"/>
        </w:rPr>
        <w:t xml:space="preserve">the negative of the absolute value of the </w:t>
      </w:r>
      <w:r w:rsidR="00691FD7" w:rsidRPr="00E91455">
        <w:rPr>
          <w:rFonts w:ascii="Calibri" w:hAnsi="Calibri"/>
          <w:color w:val="000000"/>
        </w:rPr>
        <w:t xml:space="preserve">differential </w:t>
      </w:r>
      <w:r w:rsidR="00691FD7">
        <w:rPr>
          <w:rFonts w:ascii="Calibri" w:hAnsi="Calibri"/>
          <w:color w:val="000000"/>
        </w:rPr>
        <w:t>between</w:t>
      </w:r>
      <w:r w:rsidR="00452959">
        <w:rPr>
          <w:rFonts w:ascii="Calibri" w:hAnsi="Calibri"/>
          <w:color w:val="000000"/>
        </w:rPr>
        <w:t xml:space="preserve"> stock market returns (volatilities)</w:t>
      </w:r>
      <w:r w:rsidR="00D52230">
        <w:rPr>
          <w:rFonts w:ascii="Calibri" w:hAnsi="Calibri"/>
          <w:color w:val="000000"/>
        </w:rPr>
        <w:t xml:space="preserve"> </w:t>
      </w:r>
      <w:r w:rsidR="00D52230" w:rsidRPr="00D52230">
        <w:rPr>
          <w:rFonts w:ascii="Calibri" w:hAnsi="Calibri"/>
          <w:i/>
          <w:color w:val="000000"/>
        </w:rPr>
        <w:t>(S)</w:t>
      </w:r>
      <w:r w:rsidR="00452959">
        <w:rPr>
          <w:rFonts w:ascii="Calibri" w:hAnsi="Calibri"/>
          <w:color w:val="000000"/>
        </w:rPr>
        <w:t xml:space="preserve"> </w:t>
      </w:r>
      <w:r w:rsidR="00691FD7">
        <w:rPr>
          <w:rFonts w:ascii="Calibri" w:hAnsi="Calibri"/>
          <w:color w:val="000000"/>
        </w:rPr>
        <w:t>and oil</w:t>
      </w:r>
      <w:r w:rsidR="00452959">
        <w:rPr>
          <w:rFonts w:ascii="Calibri" w:hAnsi="Calibri"/>
          <w:color w:val="000000"/>
        </w:rPr>
        <w:t xml:space="preserve"> price returns (volatilities)</w:t>
      </w:r>
      <w:r w:rsidR="00D52230">
        <w:rPr>
          <w:rFonts w:ascii="Calibri" w:hAnsi="Calibri"/>
          <w:color w:val="000000"/>
        </w:rPr>
        <w:t xml:space="preserve"> </w:t>
      </w:r>
      <w:r w:rsidR="00D52230" w:rsidRPr="00D52230">
        <w:rPr>
          <w:rFonts w:ascii="Calibri" w:hAnsi="Calibri"/>
          <w:i/>
          <w:color w:val="000000"/>
        </w:rPr>
        <w:t>(O)</w:t>
      </w:r>
      <w:r w:rsidR="00452959">
        <w:rPr>
          <w:rFonts w:ascii="Calibri" w:hAnsi="Calibri"/>
          <w:color w:val="000000"/>
        </w:rPr>
        <w:t xml:space="preserve"> over time</w:t>
      </w:r>
      <w:r w:rsidR="00691FD7">
        <w:rPr>
          <w:rFonts w:ascii="Calibri" w:hAnsi="Calibri"/>
          <w:color w:val="000000"/>
        </w:rPr>
        <w:t xml:space="preserve">, where the oil price variables serve as the reference in the bilateral setup. </w:t>
      </w:r>
    </w:p>
    <w:p w:rsidR="005718EF" w:rsidRPr="00E91455" w:rsidRDefault="00B93993" w:rsidP="005718EF">
      <w:pPr>
        <w:rPr>
          <w:rFonts w:ascii="Calibri" w:hAnsi="Calibri"/>
          <w:color w:val="000000"/>
        </w:rPr>
      </w:pPr>
      <m:oMath>
        <m:sSub>
          <m:sSubPr>
            <m:ctrlPr>
              <w:rPr>
                <w:rFonts w:ascii="Cambria Math" w:hAnsi="Cambria Math"/>
                <w:i/>
                <w:color w:val="000000"/>
              </w:rPr>
            </m:ctrlPr>
          </m:sSubPr>
          <m:e>
            <m:r>
              <w:rPr>
                <w:rFonts w:ascii="Cambria Math" w:hAnsi="Cambria Math"/>
                <w:color w:val="000000"/>
              </w:rPr>
              <m:t>SYNCH1</m:t>
            </m:r>
          </m:e>
          <m:sub>
            <m:r>
              <w:rPr>
                <w:rFonts w:ascii="Cambria Math" w:hAnsi="Cambria Math"/>
                <w:color w:val="000000"/>
              </w:rPr>
              <m:t xml:space="preserve">i,o,t </m:t>
            </m:r>
          </m:sub>
        </m:sSub>
        <m:r>
          <w:rPr>
            <w:rFonts w:ascii="Cambria Math" w:hAnsi="Cambria Math"/>
            <w:color w:val="000000"/>
          </w:rPr>
          <m:t>≡-</m:t>
        </m:r>
        <m:d>
          <m:dPr>
            <m:begChr m:val="|"/>
            <m:endChr m:val="|"/>
            <m:ctrlPr>
              <w:rPr>
                <w:rFonts w:ascii="Cambria Math" w:hAnsi="Cambria Math"/>
                <w:i/>
                <w:color w:val="000000"/>
              </w:rPr>
            </m:ctrlPr>
          </m:dPr>
          <m:e>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lnS</m:t>
                    </m:r>
                  </m:e>
                  <m:sub>
                    <m:r>
                      <w:rPr>
                        <w:rFonts w:ascii="Cambria Math" w:hAnsi="Cambria Math"/>
                        <w:color w:val="000000"/>
                      </w:rPr>
                      <m:t>i,t</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lnS</m:t>
                    </m:r>
                  </m:e>
                  <m:sub>
                    <m:r>
                      <w:rPr>
                        <w:rFonts w:ascii="Cambria Math" w:hAnsi="Cambria Math"/>
                        <w:color w:val="000000"/>
                      </w:rPr>
                      <m:t>i,t-1</m:t>
                    </m:r>
                  </m:sub>
                </m:sSub>
              </m:e>
            </m:d>
            <m:r>
              <w:rPr>
                <w:rFonts w:ascii="Cambria Math" w:hAnsi="Cambria Math"/>
                <w:color w:val="000000"/>
              </w:rPr>
              <m:t>-</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lnO</m:t>
                    </m:r>
                  </m:e>
                  <m:sub>
                    <m:r>
                      <w:rPr>
                        <w:rFonts w:ascii="Cambria Math" w:hAnsi="Cambria Math"/>
                        <w:color w:val="000000"/>
                      </w:rPr>
                      <m:t>t</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lnO</m:t>
                    </m:r>
                  </m:e>
                  <m:sub>
                    <m:r>
                      <w:rPr>
                        <w:rFonts w:ascii="Cambria Math" w:hAnsi="Cambria Math"/>
                        <w:color w:val="000000"/>
                      </w:rPr>
                      <m:t>t-1</m:t>
                    </m:r>
                  </m:sub>
                </m:sSub>
              </m:e>
            </m:d>
          </m:e>
        </m:d>
      </m:oMath>
      <w:r w:rsidR="005718EF" w:rsidRPr="00E91455">
        <w:rPr>
          <w:rFonts w:ascii="Calibri" w:hAnsi="Calibri"/>
          <w:color w:val="000000"/>
        </w:rPr>
        <w:t xml:space="preserve"> </w:t>
      </w:r>
      <w:r w:rsidR="005718EF" w:rsidRPr="00E91455">
        <w:rPr>
          <w:rFonts w:ascii="Calibri" w:hAnsi="Calibri"/>
          <w:color w:val="000000"/>
        </w:rPr>
        <w:tab/>
      </w:r>
      <w:r w:rsidR="005718EF" w:rsidRPr="00E91455">
        <w:rPr>
          <w:rFonts w:ascii="Calibri" w:hAnsi="Calibri"/>
          <w:color w:val="000000"/>
        </w:rPr>
        <w:tab/>
      </w:r>
      <w:r w:rsidR="005718EF" w:rsidRPr="00E91455">
        <w:rPr>
          <w:rFonts w:ascii="Calibri" w:hAnsi="Calibri"/>
          <w:color w:val="000000"/>
        </w:rPr>
        <w:tab/>
      </w:r>
      <w:r w:rsidR="005718EF" w:rsidRPr="00E91455">
        <w:rPr>
          <w:rFonts w:ascii="Calibri" w:hAnsi="Calibri"/>
          <w:color w:val="000000"/>
        </w:rPr>
        <w:tab/>
        <w:t>(1)</w:t>
      </w:r>
    </w:p>
    <w:p w:rsidR="00D52230" w:rsidRDefault="003A1325" w:rsidP="00A27FD4">
      <w:pPr>
        <w:rPr>
          <w:rFonts w:ascii="Calibri" w:hAnsi="Calibri"/>
          <w:color w:val="000000"/>
        </w:rPr>
      </w:pPr>
      <w:r>
        <w:rPr>
          <w:rFonts w:ascii="Calibri" w:hAnsi="Calibri"/>
          <w:color w:val="000000"/>
        </w:rPr>
        <w:t>A second</w:t>
      </w:r>
      <w:r w:rsidR="00943F23">
        <w:rPr>
          <w:rFonts w:ascii="Calibri" w:hAnsi="Calibri"/>
          <w:color w:val="000000"/>
        </w:rPr>
        <w:t xml:space="preserve"> measure i</w:t>
      </w:r>
      <w:r w:rsidR="00691FD7">
        <w:rPr>
          <w:rFonts w:ascii="Calibri" w:hAnsi="Calibri"/>
          <w:color w:val="000000"/>
        </w:rPr>
        <w:t xml:space="preserve">n the vein of </w:t>
      </w:r>
      <w:r w:rsidR="00691FD7" w:rsidRPr="00E91455">
        <w:rPr>
          <w:rFonts w:ascii="Calibri" w:hAnsi="Calibri"/>
          <w:color w:val="000000"/>
        </w:rPr>
        <w:t>Morgan</w:t>
      </w:r>
      <w:r w:rsidR="00BD7A2B">
        <w:rPr>
          <w:rFonts w:ascii="Calibri" w:hAnsi="Calibri"/>
          <w:color w:val="000000"/>
        </w:rPr>
        <w:t xml:space="preserve"> </w:t>
      </w:r>
      <w:r w:rsidR="00E1141E" w:rsidRPr="00E1141E">
        <w:rPr>
          <w:rFonts w:ascii="Calibri" w:hAnsi="Calibri"/>
          <w:i/>
          <w:color w:val="000000"/>
        </w:rPr>
        <w:t>et al.</w:t>
      </w:r>
      <w:r w:rsidR="00BD7A2B">
        <w:rPr>
          <w:rFonts w:ascii="Calibri" w:hAnsi="Calibri"/>
          <w:color w:val="000000"/>
        </w:rPr>
        <w:t xml:space="preserve"> </w:t>
      </w:r>
      <w:r w:rsidR="00691FD7" w:rsidRPr="00E91455">
        <w:rPr>
          <w:rFonts w:ascii="Calibri" w:hAnsi="Calibri"/>
          <w:color w:val="000000"/>
        </w:rPr>
        <w:t>(2004)</w:t>
      </w:r>
      <w:r w:rsidR="00691FD7">
        <w:rPr>
          <w:rFonts w:ascii="Calibri" w:hAnsi="Calibri"/>
          <w:color w:val="000000"/>
        </w:rPr>
        <w:t xml:space="preserve"> </w:t>
      </w:r>
      <w:r w:rsidR="00943F23">
        <w:rPr>
          <w:rFonts w:ascii="Calibri" w:hAnsi="Calibri"/>
          <w:color w:val="000000"/>
        </w:rPr>
        <w:t xml:space="preserve">is to regress </w:t>
      </w:r>
      <w:r w:rsidR="00691FD7">
        <w:rPr>
          <w:rFonts w:ascii="Calibri" w:hAnsi="Calibri"/>
          <w:color w:val="000000"/>
        </w:rPr>
        <w:t>returns (v</w:t>
      </w:r>
      <w:r w:rsidR="00943F23">
        <w:rPr>
          <w:rFonts w:ascii="Calibri" w:hAnsi="Calibri"/>
          <w:color w:val="000000"/>
        </w:rPr>
        <w:t xml:space="preserve">olatilities) </w:t>
      </w:r>
      <w:r w:rsidR="00D52230">
        <w:rPr>
          <w:rFonts w:ascii="Calibri" w:hAnsi="Calibri"/>
          <w:color w:val="000000"/>
        </w:rPr>
        <w:t>(</w:t>
      </w:r>
      <w:r w:rsidR="00E1141E" w:rsidRPr="00E1141E">
        <w:rPr>
          <w:rFonts w:ascii="Calibri" w:hAnsi="Calibri"/>
          <w:i/>
          <w:color w:val="000000"/>
        </w:rPr>
        <w:t>Y</w:t>
      </w:r>
      <w:r w:rsidR="00D52230">
        <w:rPr>
          <w:rFonts w:ascii="Calibri" w:hAnsi="Calibri"/>
          <w:color w:val="000000"/>
        </w:rPr>
        <w:t xml:space="preserve">) </w:t>
      </w:r>
      <w:r w:rsidR="00943F23">
        <w:rPr>
          <w:rFonts w:ascii="Calibri" w:hAnsi="Calibri"/>
          <w:color w:val="000000"/>
        </w:rPr>
        <w:t>on sector/</w:t>
      </w:r>
      <w:r w:rsidR="00001EF3">
        <w:rPr>
          <w:rFonts w:ascii="Calibri" w:hAnsi="Calibri"/>
          <w:color w:val="000000"/>
        </w:rPr>
        <w:t xml:space="preserve">country </w:t>
      </w:r>
      <w:r w:rsidR="00691FD7">
        <w:rPr>
          <w:rFonts w:ascii="Calibri" w:hAnsi="Calibri"/>
          <w:color w:val="000000"/>
        </w:rPr>
        <w:t xml:space="preserve">fixed-effects </w:t>
      </w:r>
      <w:r w:rsidR="00D52230" w:rsidRPr="00467EFA">
        <w:rPr>
          <w:rFonts w:ascii="Calibri" w:hAnsi="Calibri"/>
          <w:i/>
          <w:color w:val="000000"/>
        </w:rPr>
        <w:t>(γ</w:t>
      </w:r>
      <w:r w:rsidR="00D52230" w:rsidRPr="00467EFA">
        <w:rPr>
          <w:rFonts w:ascii="Calibri" w:hAnsi="Calibri"/>
          <w:i/>
          <w:color w:val="000000"/>
          <w:vertAlign w:val="subscript"/>
        </w:rPr>
        <w:t>i</w:t>
      </w:r>
      <w:r w:rsidR="00D52230" w:rsidRPr="00467EFA">
        <w:rPr>
          <w:rFonts w:ascii="Calibri" w:hAnsi="Calibri"/>
          <w:i/>
          <w:color w:val="000000"/>
        </w:rPr>
        <w:t>)</w:t>
      </w:r>
      <w:r w:rsidR="00D52230">
        <w:rPr>
          <w:rFonts w:ascii="Calibri" w:hAnsi="Calibri"/>
          <w:color w:val="000000"/>
        </w:rPr>
        <w:t xml:space="preserve"> </w:t>
      </w:r>
      <w:r w:rsidR="00691FD7" w:rsidRPr="00D52230">
        <w:rPr>
          <w:rFonts w:ascii="Calibri" w:hAnsi="Calibri"/>
          <w:color w:val="000000"/>
        </w:rPr>
        <w:t>and</w:t>
      </w:r>
      <w:r w:rsidR="00691FD7">
        <w:rPr>
          <w:rFonts w:ascii="Calibri" w:hAnsi="Calibri"/>
          <w:color w:val="000000"/>
        </w:rPr>
        <w:t xml:space="preserve"> period fixed effects</w:t>
      </w:r>
      <w:r w:rsidR="00467EFA">
        <w:rPr>
          <w:rFonts w:ascii="Calibri" w:hAnsi="Calibri"/>
          <w:color w:val="000000"/>
        </w:rPr>
        <w:t xml:space="preserve"> </w:t>
      </w:r>
      <w:r w:rsidR="00467EFA" w:rsidRPr="00467EFA">
        <w:rPr>
          <w:rFonts w:ascii="Calibri" w:hAnsi="Calibri"/>
          <w:i/>
          <w:color w:val="000000"/>
        </w:rPr>
        <w:t>(</w:t>
      </w:r>
      <w:r w:rsidR="00467EFA" w:rsidRPr="00467EFA">
        <w:rPr>
          <w:rFonts w:ascii="Cambria Math" w:hAnsi="Cambria Math" w:cs="Cambria Math"/>
          <w:i/>
          <w:color w:val="000000"/>
        </w:rPr>
        <w:t>ϕ</w:t>
      </w:r>
      <w:r w:rsidR="00467EFA" w:rsidRPr="00467EFA">
        <w:rPr>
          <w:rFonts w:ascii="Calibri" w:hAnsi="Calibri"/>
          <w:i/>
          <w:color w:val="000000"/>
          <w:vertAlign w:val="subscript"/>
        </w:rPr>
        <w:t>t</w:t>
      </w:r>
      <w:r w:rsidR="00467EFA" w:rsidRPr="00467EFA">
        <w:rPr>
          <w:rFonts w:ascii="Calibri" w:hAnsi="Calibri"/>
          <w:i/>
          <w:color w:val="000000"/>
        </w:rPr>
        <w:t>)</w:t>
      </w:r>
      <w:r w:rsidR="00691FD7">
        <w:rPr>
          <w:rFonts w:ascii="Calibri" w:hAnsi="Calibri"/>
          <w:color w:val="000000"/>
        </w:rPr>
        <w:t xml:space="preserve"> for each sector/country </w:t>
      </w:r>
      <w:r w:rsidR="00001EF3" w:rsidRPr="00E91455">
        <w:rPr>
          <w:rFonts w:ascii="Calibri" w:hAnsi="Calibri"/>
          <w:color w:val="000000"/>
        </w:rPr>
        <w:t>to obtain a residual whose absolute value is used</w:t>
      </w:r>
      <w:r w:rsidR="00001EF3">
        <w:rPr>
          <w:rFonts w:ascii="Calibri" w:hAnsi="Calibri"/>
          <w:color w:val="000000"/>
        </w:rPr>
        <w:t xml:space="preserve"> to construct a proxy for</w:t>
      </w:r>
      <w:r w:rsidR="00406EA4">
        <w:rPr>
          <w:rFonts w:ascii="Calibri" w:hAnsi="Calibri"/>
          <w:color w:val="000000"/>
        </w:rPr>
        <w:t xml:space="preserve"> synchronization</w:t>
      </w:r>
      <w:r w:rsidR="00943F23">
        <w:rPr>
          <w:rFonts w:ascii="Calibri" w:hAnsi="Calibri"/>
          <w:color w:val="000000"/>
        </w:rPr>
        <w:t>.</w:t>
      </w:r>
      <w:r w:rsidR="00E2366B">
        <w:rPr>
          <w:rStyle w:val="FootnoteReference"/>
          <w:rFonts w:ascii="Calibri" w:hAnsi="Calibri"/>
          <w:color w:val="000000"/>
        </w:rPr>
        <w:footnoteReference w:id="9"/>
      </w:r>
      <w:r w:rsidR="00943F23">
        <w:rPr>
          <w:rFonts w:ascii="Calibri" w:hAnsi="Calibri"/>
          <w:color w:val="000000"/>
        </w:rPr>
        <w:t xml:space="preserve"> This measure is</w:t>
      </w:r>
      <w:r w:rsidR="00001EF3">
        <w:rPr>
          <w:rFonts w:ascii="Calibri" w:hAnsi="Calibri"/>
          <w:color w:val="000000"/>
        </w:rPr>
        <w:t xml:space="preserve"> defined </w:t>
      </w:r>
      <w:r w:rsidR="00001EF3" w:rsidRPr="00E91455">
        <w:rPr>
          <w:rFonts w:ascii="Calibri" w:hAnsi="Calibri"/>
          <w:color w:val="000000"/>
        </w:rPr>
        <w:t xml:space="preserve">as the negative of the absolute value of the differential between </w:t>
      </w:r>
      <w:r w:rsidR="005718EF">
        <w:rPr>
          <w:rFonts w:ascii="Calibri" w:hAnsi="Calibri"/>
          <w:color w:val="000000"/>
        </w:rPr>
        <w:t xml:space="preserve">sector </w:t>
      </w:r>
      <w:r w:rsidR="005718EF" w:rsidRPr="00D52230">
        <w:rPr>
          <w:rFonts w:ascii="Calibri" w:hAnsi="Calibri"/>
          <w:i/>
          <w:color w:val="000000"/>
        </w:rPr>
        <w:t>i</w:t>
      </w:r>
      <w:r w:rsidR="00BD7A2B">
        <w:rPr>
          <w:rFonts w:ascii="Calibri" w:hAnsi="Calibri"/>
          <w:i/>
          <w:color w:val="000000"/>
        </w:rPr>
        <w:t>'s</w:t>
      </w:r>
      <w:r w:rsidR="005718EF" w:rsidRPr="00D52230">
        <w:rPr>
          <w:rFonts w:ascii="Calibri" w:hAnsi="Calibri"/>
          <w:i/>
          <w:color w:val="000000"/>
        </w:rPr>
        <w:t xml:space="preserve"> </w:t>
      </w:r>
      <w:r w:rsidR="005718EF">
        <w:rPr>
          <w:rFonts w:ascii="Calibri" w:hAnsi="Calibri"/>
          <w:color w:val="000000"/>
        </w:rPr>
        <w:t>residual</w:t>
      </w:r>
      <w:r w:rsidR="00467EFA">
        <w:rPr>
          <w:rFonts w:ascii="Calibri" w:hAnsi="Calibri"/>
          <w:color w:val="000000"/>
        </w:rPr>
        <w:t xml:space="preserve"> (</w:t>
      </w:r>
      <w:r w:rsidR="00467EFA" w:rsidRPr="00467EFA">
        <w:rPr>
          <w:rFonts w:ascii="Calibri" w:hAnsi="Calibri"/>
          <w:i/>
          <w:color w:val="000000"/>
        </w:rPr>
        <w:t>v</w:t>
      </w:r>
      <w:r w:rsidR="00467EFA" w:rsidRPr="00467EFA">
        <w:rPr>
          <w:rFonts w:ascii="Calibri" w:hAnsi="Calibri"/>
          <w:i/>
          <w:color w:val="000000"/>
          <w:vertAlign w:val="subscript"/>
        </w:rPr>
        <w:t>i,t</w:t>
      </w:r>
      <w:r w:rsidR="00467EFA">
        <w:rPr>
          <w:rFonts w:ascii="Calibri" w:hAnsi="Calibri"/>
          <w:i/>
          <w:color w:val="000000"/>
        </w:rPr>
        <w:t>)</w:t>
      </w:r>
      <w:r w:rsidR="005718EF">
        <w:rPr>
          <w:rFonts w:ascii="Calibri" w:hAnsi="Calibri"/>
          <w:color w:val="000000"/>
        </w:rPr>
        <w:t xml:space="preserve"> and the oil variable residual</w:t>
      </w:r>
      <w:r w:rsidR="00467EFA">
        <w:rPr>
          <w:rFonts w:ascii="Calibri" w:hAnsi="Calibri"/>
          <w:color w:val="000000"/>
        </w:rPr>
        <w:t xml:space="preserve"> (</w:t>
      </w:r>
      <w:r w:rsidR="00467EFA" w:rsidRPr="00467EFA">
        <w:rPr>
          <w:rFonts w:ascii="Calibri" w:hAnsi="Calibri"/>
          <w:i/>
          <w:color w:val="000000"/>
        </w:rPr>
        <w:t>v</w:t>
      </w:r>
      <w:r w:rsidR="00467EFA" w:rsidRPr="00467EFA">
        <w:rPr>
          <w:rFonts w:ascii="Calibri" w:hAnsi="Calibri"/>
          <w:i/>
          <w:color w:val="000000"/>
          <w:vertAlign w:val="subscript"/>
        </w:rPr>
        <w:t>o,t</w:t>
      </w:r>
      <w:r w:rsidR="00467EFA">
        <w:rPr>
          <w:rFonts w:ascii="Calibri" w:hAnsi="Calibri"/>
          <w:color w:val="000000"/>
        </w:rPr>
        <w:t>)</w:t>
      </w:r>
      <w:r w:rsidR="005718EF">
        <w:rPr>
          <w:rFonts w:ascii="Calibri" w:hAnsi="Calibri"/>
          <w:color w:val="000000"/>
        </w:rPr>
        <w:t xml:space="preserve">. </w:t>
      </w:r>
    </w:p>
    <w:p w:rsidR="00D52230" w:rsidRPr="00E91455" w:rsidRDefault="00B93993" w:rsidP="00D52230">
      <w:pPr>
        <w:rPr>
          <w:rFonts w:ascii="Calibri" w:hAnsi="Calibri"/>
          <w:color w:val="000000"/>
        </w:rPr>
      </w:pPr>
      <m:oMath>
        <m:sSub>
          <m:sSubPr>
            <m:ctrlPr>
              <w:rPr>
                <w:rFonts w:ascii="Cambria Math" w:hAnsi="Cambria Math"/>
                <w:i/>
                <w:color w:val="000000"/>
              </w:rPr>
            </m:ctrlPr>
          </m:sSubPr>
          <m:e>
            <m:r>
              <w:rPr>
                <w:rFonts w:ascii="Cambria Math" w:hAnsi="Cambria Math"/>
                <w:color w:val="000000"/>
              </w:rPr>
              <m:t>lnY</m:t>
            </m:r>
          </m:e>
          <m:sub>
            <m:r>
              <w:rPr>
                <w:rFonts w:ascii="Cambria Math" w:hAnsi="Cambria Math"/>
                <w:color w:val="000000"/>
              </w:rPr>
              <m:t>i,t</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lnY</m:t>
            </m:r>
          </m:e>
          <m:sub>
            <m:r>
              <w:rPr>
                <w:rFonts w:ascii="Cambria Math" w:hAnsi="Cambria Math"/>
                <w:color w:val="000000"/>
              </w:rPr>
              <m:t>i,t-1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γ</m:t>
            </m:r>
          </m:e>
          <m:sub>
            <m:r>
              <w:rPr>
                <w:rFonts w:ascii="Cambria Math" w:hAnsi="Cambria Math"/>
                <w:color w:val="000000"/>
              </w:rPr>
              <m:t>i</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ϕ</m:t>
            </m:r>
          </m:e>
          <m:sub>
            <m:r>
              <w:rPr>
                <w:rFonts w:ascii="Cambria Math" w:hAnsi="Cambria Math"/>
                <w:color w:val="000000"/>
              </w:rPr>
              <m:t>t</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υ</m:t>
            </m:r>
          </m:e>
          <m:sub>
            <m:r>
              <w:rPr>
                <w:rFonts w:ascii="Cambria Math" w:hAnsi="Cambria Math"/>
                <w:color w:val="000000"/>
              </w:rPr>
              <m:t>i,t</m:t>
            </m:r>
          </m:sub>
        </m:sSub>
        <m:r>
          <w:rPr>
            <w:rFonts w:ascii="Cambria Math" w:hAnsi="Cambria Math"/>
            <w:color w:val="000000"/>
          </w:rPr>
          <m:t xml:space="preserve">      ∀i,o</m:t>
        </m:r>
      </m:oMath>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t>(2)</w:t>
      </w:r>
    </w:p>
    <w:p w:rsidR="00D52230" w:rsidRPr="00E91455" w:rsidRDefault="00D52230" w:rsidP="00D52230">
      <w:pPr>
        <w:rPr>
          <w:rFonts w:ascii="Calibri" w:hAnsi="Calibri"/>
          <w:color w:val="000000"/>
        </w:rPr>
      </w:pPr>
      <w:r w:rsidRPr="00E91455">
        <w:rPr>
          <w:rFonts w:ascii="Calibri" w:hAnsi="Calibri" w:hint="cs"/>
          <w:color w:val="000000"/>
        </w:rPr>
        <w:t xml:space="preserve"> </w:t>
      </w:r>
      <w:r w:rsidRPr="00E91455">
        <w:rPr>
          <w:rFonts w:ascii="Calibri" w:hAnsi="Calibri"/>
          <w:color w:val="000000"/>
        </w:rPr>
        <w:t>These residuals account for cross-countr</w:t>
      </w:r>
      <w:r w:rsidR="00977262">
        <w:rPr>
          <w:rFonts w:ascii="Calibri" w:hAnsi="Calibri"/>
          <w:color w:val="000000"/>
        </w:rPr>
        <w:t>y and across-year mean</w:t>
      </w:r>
      <w:r w:rsidR="00467EFA">
        <w:rPr>
          <w:rFonts w:ascii="Calibri" w:hAnsi="Calibri"/>
          <w:color w:val="000000"/>
        </w:rPr>
        <w:t xml:space="preserve"> return/volatility</w:t>
      </w:r>
      <w:r w:rsidRPr="00E91455">
        <w:rPr>
          <w:rFonts w:ascii="Calibri" w:hAnsi="Calibri"/>
          <w:color w:val="000000"/>
        </w:rPr>
        <w:t xml:space="preserve"> fluctuations: </w:t>
      </w:r>
    </w:p>
    <w:p w:rsidR="00D52230" w:rsidRPr="00E91455" w:rsidRDefault="00B93993" w:rsidP="00D52230">
      <w:pPr>
        <w:rPr>
          <w:rFonts w:ascii="Calibri" w:hAnsi="Calibri"/>
          <w:color w:val="000000"/>
        </w:rPr>
      </w:pPr>
      <m:oMath>
        <m:sSub>
          <m:sSubPr>
            <m:ctrlPr>
              <w:rPr>
                <w:rFonts w:ascii="Cambria Math" w:hAnsi="Cambria Math"/>
                <w:i/>
                <w:color w:val="000000"/>
              </w:rPr>
            </m:ctrlPr>
          </m:sSubPr>
          <m:e>
            <m:r>
              <w:rPr>
                <w:rFonts w:ascii="Cambria Math" w:hAnsi="Cambria Math"/>
                <w:color w:val="000000"/>
              </w:rPr>
              <m:t>FLUCT</m:t>
            </m:r>
          </m:e>
          <m:sub>
            <m:r>
              <w:rPr>
                <w:rFonts w:ascii="Cambria Math" w:hAnsi="Cambria Math"/>
                <w:color w:val="000000"/>
              </w:rPr>
              <m:t>i,t</m:t>
            </m:r>
          </m:sub>
        </m:sSub>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i,t</m:t>
                </m:r>
              </m:sub>
            </m:sSub>
          </m:e>
        </m:d>
        <m:r>
          <w:rPr>
            <w:rFonts w:ascii="Cambria Math" w:hAnsi="Cambria Math"/>
            <w:color w:val="000000"/>
          </w:rPr>
          <m:t xml:space="preserve"> and </m:t>
        </m:r>
        <m:sSub>
          <m:sSubPr>
            <m:ctrlPr>
              <w:rPr>
                <w:rFonts w:ascii="Cambria Math" w:hAnsi="Cambria Math"/>
                <w:i/>
                <w:color w:val="000000"/>
              </w:rPr>
            </m:ctrlPr>
          </m:sSubPr>
          <m:e>
            <m:r>
              <w:rPr>
                <w:rFonts w:ascii="Cambria Math" w:hAnsi="Cambria Math"/>
                <w:color w:val="000000"/>
              </w:rPr>
              <m:t>FLUCT</m:t>
            </m:r>
          </m:e>
          <m:sub>
            <m:r>
              <w:rPr>
                <w:rFonts w:ascii="Cambria Math" w:hAnsi="Cambria Math"/>
                <w:color w:val="000000"/>
              </w:rPr>
              <m:t>j,t</m:t>
            </m:r>
          </m:sub>
        </m:sSub>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o,t</m:t>
                </m:r>
              </m:sub>
            </m:sSub>
          </m:e>
        </m:d>
      </m:oMath>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t>(3)</w:t>
      </w:r>
    </w:p>
    <w:p w:rsidR="00D52230" w:rsidRPr="00E91455" w:rsidRDefault="00D52230" w:rsidP="00D52230">
      <w:pPr>
        <w:rPr>
          <w:rFonts w:ascii="Calibri" w:hAnsi="Calibri"/>
          <w:color w:val="000000"/>
        </w:rPr>
      </w:pPr>
      <w:r w:rsidRPr="00E91455">
        <w:rPr>
          <w:rFonts w:ascii="Calibri" w:hAnsi="Calibri"/>
          <w:color w:val="000000"/>
        </w:rPr>
        <w:t>Therefore</w:t>
      </w:r>
      <w:r w:rsidR="00BD7A2B">
        <w:rPr>
          <w:rFonts w:ascii="Calibri" w:hAnsi="Calibri"/>
          <w:color w:val="000000"/>
        </w:rPr>
        <w:t>:</w:t>
      </w:r>
    </w:p>
    <w:p w:rsidR="00D52230" w:rsidRPr="00E91455" w:rsidRDefault="00D52230" w:rsidP="00D52230">
      <w:pPr>
        <w:rPr>
          <w:rFonts w:ascii="Calibri" w:hAnsi="Calibri"/>
          <w:color w:val="000000"/>
        </w:rPr>
      </w:pPr>
    </w:p>
    <w:p w:rsidR="00D52230" w:rsidRPr="00E91455" w:rsidRDefault="00B93993" w:rsidP="00D52230">
      <w:pPr>
        <w:rPr>
          <w:rFonts w:ascii="Calibri" w:hAnsi="Calibri"/>
          <w:color w:val="000000"/>
        </w:rPr>
      </w:pPr>
      <m:oMath>
        <m:sSub>
          <m:sSubPr>
            <m:ctrlPr>
              <w:rPr>
                <w:rFonts w:ascii="Cambria Math" w:hAnsi="Cambria Math"/>
                <w:i/>
                <w:color w:val="000000"/>
              </w:rPr>
            </m:ctrlPr>
          </m:sSubPr>
          <m:e>
            <m:r>
              <w:rPr>
                <w:rFonts w:ascii="Cambria Math" w:hAnsi="Cambria Math"/>
                <w:color w:val="000000"/>
              </w:rPr>
              <m:t>SYNCH2</m:t>
            </m:r>
          </m:e>
          <m:sub>
            <m:r>
              <w:rPr>
                <w:rFonts w:ascii="Cambria Math" w:hAnsi="Cambria Math"/>
                <w:color w:val="000000"/>
              </w:rPr>
              <m:t>i,o,t</m:t>
            </m:r>
          </m:sub>
        </m:sSub>
        <m:r>
          <w:rPr>
            <w:rFonts w:ascii="Cambria Math" w:hAnsi="Cambria Math"/>
            <w:color w:val="000000"/>
          </w:rPr>
          <m:t>≡-</m:t>
        </m:r>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i,t</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o,t</m:t>
                </m:r>
              </m:sub>
            </m:sSub>
          </m:e>
        </m:d>
      </m:oMath>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r>
      <w:r w:rsidR="00D52230" w:rsidRPr="00E91455">
        <w:rPr>
          <w:rFonts w:ascii="Calibri" w:hAnsi="Calibri"/>
          <w:color w:val="000000"/>
        </w:rPr>
        <w:tab/>
        <w:t>(4)</w:t>
      </w:r>
    </w:p>
    <w:p w:rsidR="00D52230" w:rsidRPr="00E91455" w:rsidRDefault="00D52230" w:rsidP="00D52230">
      <w:pPr>
        <w:rPr>
          <w:rFonts w:ascii="Calibri" w:hAnsi="Calibri"/>
          <w:color w:val="000000"/>
        </w:rPr>
      </w:pPr>
      <w:r w:rsidRPr="00E91455">
        <w:rPr>
          <w:rFonts w:ascii="Calibri" w:hAnsi="Calibri"/>
          <w:color w:val="000000"/>
        </w:rPr>
        <w:lastRenderedPageBreak/>
        <w:t>Simply put, this index measu</w:t>
      </w:r>
      <w:r w:rsidR="00F01B2E">
        <w:rPr>
          <w:rFonts w:ascii="Calibri" w:hAnsi="Calibri"/>
          <w:color w:val="000000"/>
        </w:rPr>
        <w:t>res how similar returns/volatilities</w:t>
      </w:r>
      <w:r w:rsidRPr="00E91455">
        <w:rPr>
          <w:rFonts w:ascii="Calibri" w:hAnsi="Calibri"/>
          <w:color w:val="000000"/>
        </w:rPr>
        <w:t xml:space="preserve"> are between each </w:t>
      </w:r>
      <w:r w:rsidR="00F01B2E">
        <w:rPr>
          <w:rFonts w:ascii="Calibri" w:hAnsi="Calibri"/>
          <w:color w:val="000000"/>
        </w:rPr>
        <w:t>sector/country and the oil sector</w:t>
      </w:r>
      <w:r w:rsidRPr="00E91455">
        <w:rPr>
          <w:rFonts w:ascii="Calibri" w:hAnsi="Calibri"/>
          <w:color w:val="000000"/>
        </w:rPr>
        <w:t xml:space="preserve"> in any given year when we acc</w:t>
      </w:r>
      <w:r w:rsidR="00F01B2E">
        <w:rPr>
          <w:rFonts w:ascii="Calibri" w:hAnsi="Calibri"/>
          <w:color w:val="000000"/>
        </w:rPr>
        <w:t>ount for the average return/volatility</w:t>
      </w:r>
      <w:r w:rsidRPr="00E91455">
        <w:rPr>
          <w:rFonts w:ascii="Calibri" w:hAnsi="Calibri"/>
          <w:color w:val="000000"/>
        </w:rPr>
        <w:t xml:space="preserve"> in each country and </w:t>
      </w:r>
      <w:r w:rsidR="00F01B2E">
        <w:rPr>
          <w:rFonts w:ascii="Calibri" w:hAnsi="Calibri"/>
          <w:color w:val="000000"/>
        </w:rPr>
        <w:t xml:space="preserve">in </w:t>
      </w:r>
      <w:r w:rsidRPr="00E91455">
        <w:rPr>
          <w:rFonts w:ascii="Calibri" w:hAnsi="Calibri"/>
          <w:color w:val="000000"/>
        </w:rPr>
        <w:t>each year.</w:t>
      </w:r>
    </w:p>
    <w:p w:rsidR="003A1325" w:rsidRPr="00E91455" w:rsidRDefault="003A1325" w:rsidP="003A1325">
      <w:pPr>
        <w:rPr>
          <w:rFonts w:ascii="Calibri" w:hAnsi="Calibri"/>
          <w:color w:val="000000"/>
        </w:rPr>
      </w:pPr>
      <w:r w:rsidRPr="00E91455">
        <w:rPr>
          <w:rFonts w:ascii="Calibri" w:hAnsi="Calibri"/>
          <w:color w:val="000000"/>
        </w:rPr>
        <w:t>The third measure, SYNCH3</w:t>
      </w:r>
      <w:r>
        <w:rPr>
          <w:rFonts w:ascii="Calibri" w:hAnsi="Calibri"/>
          <w:color w:val="000000"/>
          <w:vertAlign w:val="subscript"/>
        </w:rPr>
        <w:t>i,o</w:t>
      </w:r>
      <w:r w:rsidRPr="00E91455">
        <w:rPr>
          <w:rFonts w:ascii="Calibri" w:hAnsi="Calibri"/>
          <w:color w:val="000000"/>
          <w:vertAlign w:val="subscript"/>
        </w:rPr>
        <w:t>,t</w:t>
      </w:r>
      <w:r w:rsidRPr="00E91455">
        <w:rPr>
          <w:rFonts w:ascii="Calibri" w:hAnsi="Calibri"/>
          <w:color w:val="000000"/>
        </w:rPr>
        <w:t xml:space="preserve">, </w:t>
      </w:r>
      <w:r>
        <w:rPr>
          <w:rFonts w:ascii="Calibri" w:hAnsi="Calibri"/>
          <w:color w:val="000000"/>
        </w:rPr>
        <w:t xml:space="preserve">consists </w:t>
      </w:r>
      <w:r w:rsidR="00BD7A2B">
        <w:rPr>
          <w:rFonts w:ascii="Calibri" w:hAnsi="Calibri"/>
          <w:color w:val="000000"/>
        </w:rPr>
        <w:t>of</w:t>
      </w:r>
      <w:r w:rsidR="00BD7A2B" w:rsidRPr="00E91455">
        <w:rPr>
          <w:rFonts w:ascii="Calibri" w:hAnsi="Calibri"/>
          <w:color w:val="000000"/>
        </w:rPr>
        <w:t xml:space="preserve"> </w:t>
      </w:r>
      <w:r w:rsidRPr="00E91455">
        <w:rPr>
          <w:rFonts w:ascii="Calibri" w:hAnsi="Calibri"/>
          <w:color w:val="000000"/>
        </w:rPr>
        <w:t xml:space="preserve">computing the </w:t>
      </w:r>
      <w:r w:rsidR="00BD7A2B">
        <w:rPr>
          <w:rFonts w:ascii="Calibri" w:hAnsi="Calibri"/>
          <w:color w:val="000000"/>
        </w:rPr>
        <w:t>five</w:t>
      </w:r>
      <w:r w:rsidRPr="00E91455">
        <w:rPr>
          <w:rFonts w:ascii="Calibri" w:hAnsi="Calibri"/>
          <w:color w:val="000000"/>
        </w:rPr>
        <w:t xml:space="preserve">-year correlation of </w:t>
      </w:r>
      <w:r w:rsidR="004F7A43">
        <w:rPr>
          <w:rFonts w:ascii="Calibri" w:hAnsi="Calibri"/>
          <w:color w:val="000000"/>
        </w:rPr>
        <w:t xml:space="preserve">the cyclical component of return/volatility that can be obtained via </w:t>
      </w:r>
      <w:r>
        <w:rPr>
          <w:rFonts w:ascii="Calibri" w:hAnsi="Calibri"/>
          <w:color w:val="000000"/>
        </w:rPr>
        <w:t>any filtering method or the</w:t>
      </w:r>
      <w:r w:rsidRPr="00E91455">
        <w:rPr>
          <w:rFonts w:ascii="Calibri" w:hAnsi="Calibri"/>
          <w:color w:val="000000"/>
        </w:rPr>
        <w:t xml:space="preserve"> Baxter and King (1999) </w:t>
      </w:r>
      <w:r w:rsidR="00BD7A2B">
        <w:rPr>
          <w:rFonts w:ascii="Calibri" w:hAnsi="Calibri"/>
          <w:color w:val="000000"/>
        </w:rPr>
        <w:t>b</w:t>
      </w:r>
      <w:r w:rsidRPr="00E91455">
        <w:rPr>
          <w:rFonts w:ascii="Calibri" w:hAnsi="Calibri"/>
          <w:color w:val="000000"/>
        </w:rPr>
        <w:t>and-</w:t>
      </w:r>
      <w:r w:rsidR="00BD7A2B">
        <w:rPr>
          <w:rFonts w:ascii="Calibri" w:hAnsi="Calibri"/>
          <w:color w:val="000000"/>
        </w:rPr>
        <w:t>p</w:t>
      </w:r>
      <w:r w:rsidRPr="00E91455">
        <w:rPr>
          <w:rFonts w:ascii="Calibri" w:hAnsi="Calibri"/>
          <w:color w:val="000000"/>
        </w:rPr>
        <w:t>ass filter</w:t>
      </w:r>
      <w:r w:rsidR="004F7A43">
        <w:rPr>
          <w:rFonts w:ascii="Calibri" w:hAnsi="Calibri"/>
          <w:color w:val="000000"/>
        </w:rPr>
        <w:t xml:space="preserve"> (Imbs, </w:t>
      </w:r>
      <w:r w:rsidRPr="00E91455">
        <w:rPr>
          <w:rFonts w:ascii="Calibri" w:hAnsi="Calibri"/>
          <w:color w:val="000000"/>
        </w:rPr>
        <w:t>2006</w:t>
      </w:r>
      <w:r w:rsidR="00BD7A2B">
        <w:rPr>
          <w:rFonts w:ascii="Calibri" w:hAnsi="Calibri"/>
          <w:color w:val="000000"/>
        </w:rPr>
        <w:t>;</w:t>
      </w:r>
      <w:r w:rsidRPr="00E91455">
        <w:rPr>
          <w:rFonts w:ascii="Calibri" w:hAnsi="Calibri"/>
          <w:color w:val="000000"/>
        </w:rPr>
        <w:t xml:space="preserve"> Baxter and Kouparitsas</w:t>
      </w:r>
      <w:r w:rsidR="004F7A43">
        <w:rPr>
          <w:rFonts w:ascii="Calibri" w:hAnsi="Calibri"/>
          <w:color w:val="000000"/>
        </w:rPr>
        <w:t>,</w:t>
      </w:r>
      <w:r w:rsidRPr="00E91455">
        <w:rPr>
          <w:rFonts w:ascii="Calibri" w:hAnsi="Calibri"/>
          <w:color w:val="000000"/>
        </w:rPr>
        <w:t xml:space="preserve"> 2005). </w:t>
      </w:r>
    </w:p>
    <w:p w:rsidR="00E91455" w:rsidRPr="00E91455" w:rsidRDefault="00737732" w:rsidP="00E91455">
      <w:pPr>
        <w:rPr>
          <w:rFonts w:ascii="Calibri" w:hAnsi="Calibri"/>
          <w:color w:val="000000"/>
        </w:rPr>
      </w:pPr>
      <w:r>
        <w:t>Kalemli-Ozcan</w:t>
      </w:r>
      <w:r w:rsidR="00BD7A2B">
        <w:t xml:space="preserve"> </w:t>
      </w:r>
      <w:r w:rsidR="00E1141E" w:rsidRPr="00E1141E">
        <w:rPr>
          <w:i/>
        </w:rPr>
        <w:t>et al.</w:t>
      </w:r>
      <w:r>
        <w:t xml:space="preserve"> (201</w:t>
      </w:r>
      <w:r w:rsidR="0086229D">
        <w:t>1</w:t>
      </w:r>
      <w:r>
        <w:t>) take the average of each of the three bilateral synchronicity measures described above in their investigation of the linkages between financial integration and business cycle synchronization (SYNCH</w:t>
      </w:r>
      <w:r>
        <w:rPr>
          <w:vertAlign w:val="subscript"/>
        </w:rPr>
        <w:t>i,j,t</w:t>
      </w:r>
      <w:r>
        <w:t xml:space="preserve">) for the 20 OECD countries </w:t>
      </w:r>
      <w:r w:rsidR="00BD7A2B">
        <w:t xml:space="preserve">considered </w:t>
      </w:r>
      <w:r w:rsidR="008103A1">
        <w:t xml:space="preserve">in their study. Although the first two </w:t>
      </w:r>
      <w:r>
        <w:t xml:space="preserve">measures are relatively easy to implement </w:t>
      </w:r>
      <w:r w:rsidR="008103A1">
        <w:t>and are not subject to the shortcomings of various filtering methods, their drawback is that they are mostly useful when the objective is to explain rather than</w:t>
      </w:r>
      <w:r w:rsidR="00E2366B">
        <w:t xml:space="preserve"> to</w:t>
      </w:r>
      <w:r w:rsidR="008103A1">
        <w:t xml:space="preserve"> determine the extent of synchronicity. As can be gleaned from Equations (1) and (4), all the values are negative. Therefore, it is difficult</w:t>
      </w:r>
      <w:r w:rsidR="00FF3109">
        <w:t xml:space="preserve"> to tell whether the </w:t>
      </w:r>
      <w:r w:rsidR="00931962">
        <w:t>s</w:t>
      </w:r>
      <w:r w:rsidR="00FF3109">
        <w:t>ynchronicity between a sector of the stock market and the oil market is, for example, 50</w:t>
      </w:r>
      <w:r w:rsidR="00BD7A2B">
        <w:t>%</w:t>
      </w:r>
      <w:r w:rsidR="00FF3109">
        <w:t xml:space="preserve"> or 60</w:t>
      </w:r>
      <w:r w:rsidR="00BD7A2B">
        <w:t>%</w:t>
      </w:r>
      <w:r w:rsidR="00FF3109">
        <w:t>.</w:t>
      </w:r>
      <w:r w:rsidR="00FF3109">
        <w:rPr>
          <w:rStyle w:val="FootnoteReference"/>
        </w:rPr>
        <w:footnoteReference w:id="10"/>
      </w:r>
    </w:p>
    <w:p w:rsidR="00E91455" w:rsidRPr="00E91455" w:rsidRDefault="00E91455" w:rsidP="00E91455">
      <w:pPr>
        <w:rPr>
          <w:rFonts w:ascii="Calibri" w:hAnsi="Calibri"/>
          <w:color w:val="000000"/>
        </w:rPr>
      </w:pPr>
      <w:r w:rsidRPr="00E91455">
        <w:rPr>
          <w:rFonts w:ascii="Calibri" w:hAnsi="Calibri"/>
          <w:color w:val="000000"/>
        </w:rPr>
        <w:t xml:space="preserve">We chose the nonparametric methodology proposed by Mink </w:t>
      </w:r>
      <w:r w:rsidR="00E1141E" w:rsidRPr="00E1141E">
        <w:rPr>
          <w:rFonts w:ascii="Calibri" w:hAnsi="Calibri"/>
          <w:i/>
          <w:color w:val="000000"/>
        </w:rPr>
        <w:t>et al.</w:t>
      </w:r>
      <w:r w:rsidRPr="00E91455">
        <w:rPr>
          <w:rFonts w:ascii="Calibri" w:hAnsi="Calibri"/>
          <w:color w:val="000000"/>
        </w:rPr>
        <w:t xml:space="preserve"> (2007) as the second</w:t>
      </w:r>
      <w:r w:rsidR="00BD7A2B">
        <w:rPr>
          <w:rFonts w:ascii="Calibri" w:hAnsi="Calibri"/>
          <w:color w:val="000000"/>
        </w:rPr>
        <w:t>-</w:t>
      </w:r>
      <w:r w:rsidRPr="00E91455">
        <w:rPr>
          <w:rFonts w:ascii="Calibri" w:hAnsi="Calibri"/>
          <w:color w:val="000000"/>
        </w:rPr>
        <w:t xml:space="preserve">best alternative available to answer our research question. This measure is as flexible as Kalemli-Ozcan </w:t>
      </w:r>
      <w:r w:rsidR="00E1141E" w:rsidRPr="00E1141E">
        <w:rPr>
          <w:rFonts w:ascii="Calibri" w:hAnsi="Calibri"/>
          <w:i/>
          <w:color w:val="000000"/>
        </w:rPr>
        <w:t>et al.</w:t>
      </w:r>
      <w:r w:rsidRPr="00E91455">
        <w:rPr>
          <w:rFonts w:ascii="Calibri" w:hAnsi="Calibri"/>
          <w:color w:val="000000"/>
        </w:rPr>
        <w:t>’s in that it is easy to use, and can be calculated at every point in time in a bivariate or multivariate setting within/across sectors or countries to indicate whether cycles are synchronized or not. However, it first require</w:t>
      </w:r>
      <w:r w:rsidR="00931962">
        <w:rPr>
          <w:rFonts w:ascii="Calibri" w:hAnsi="Calibri"/>
          <w:color w:val="000000"/>
        </w:rPr>
        <w:t>s filtering to obtain the return/volatility</w:t>
      </w:r>
      <w:r w:rsidRPr="00E91455">
        <w:rPr>
          <w:rFonts w:ascii="Calibri" w:hAnsi="Calibri"/>
          <w:color w:val="000000"/>
        </w:rPr>
        <w:t xml:space="preserve"> gap and it is bounded between -1 and 1. </w:t>
      </w:r>
      <w:r w:rsidR="00931962">
        <w:rPr>
          <w:rFonts w:ascii="Calibri" w:hAnsi="Calibri"/>
          <w:color w:val="000000"/>
        </w:rPr>
        <w:t xml:space="preserve">The main issue that sometime arises when dealing with cross-country </w:t>
      </w:r>
      <w:r w:rsidR="00AE7E92">
        <w:rPr>
          <w:rFonts w:ascii="Calibri" w:hAnsi="Calibri"/>
          <w:color w:val="000000"/>
        </w:rPr>
        <w:t>data</w:t>
      </w:r>
      <w:r w:rsidR="00D00A21">
        <w:rPr>
          <w:rFonts w:ascii="Calibri" w:hAnsi="Calibri"/>
          <w:color w:val="000000"/>
        </w:rPr>
        <w:t xml:space="preserve"> </w:t>
      </w:r>
      <w:r w:rsidR="00931962">
        <w:rPr>
          <w:rFonts w:ascii="Calibri" w:hAnsi="Calibri"/>
          <w:color w:val="000000"/>
        </w:rPr>
        <w:t>is the</w:t>
      </w:r>
      <w:r w:rsidRPr="00E91455">
        <w:rPr>
          <w:rFonts w:ascii="Calibri" w:hAnsi="Calibri"/>
          <w:color w:val="000000"/>
        </w:rPr>
        <w:t xml:space="preserve"> choice of an appropriate reference cycle against which synchronization can be assessed with individual </w:t>
      </w:r>
      <w:r w:rsidR="009606E5" w:rsidRPr="00E91455">
        <w:rPr>
          <w:rFonts w:ascii="Calibri" w:hAnsi="Calibri"/>
          <w:color w:val="000000"/>
        </w:rPr>
        <w:t>cycles.</w:t>
      </w:r>
      <w:r w:rsidRPr="00E91455">
        <w:rPr>
          <w:rFonts w:ascii="Calibri" w:hAnsi="Calibri"/>
          <w:color w:val="000000"/>
          <w:vertAlign w:val="superscript"/>
        </w:rPr>
        <w:footnoteReference w:id="11"/>
      </w:r>
      <w:r w:rsidRPr="00E91455">
        <w:rPr>
          <w:rFonts w:ascii="Calibri" w:hAnsi="Calibri"/>
          <w:color w:val="000000"/>
        </w:rPr>
        <w:t xml:space="preserve"> </w:t>
      </w:r>
      <w:r w:rsidR="00D00A21">
        <w:rPr>
          <w:rFonts w:ascii="Calibri" w:hAnsi="Calibri"/>
          <w:color w:val="000000"/>
        </w:rPr>
        <w:t>As Basher (2010) points out</w:t>
      </w:r>
      <w:r w:rsidR="00BD7A2B">
        <w:rPr>
          <w:rFonts w:ascii="Calibri" w:hAnsi="Calibri"/>
          <w:color w:val="000000"/>
        </w:rPr>
        <w:t>, this problem</w:t>
      </w:r>
      <w:r w:rsidR="00D00A21">
        <w:t xml:space="preserve"> does not necessarily exist in sectoral analysis</w:t>
      </w:r>
      <w:r w:rsidR="00BD7A2B">
        <w:t>,</w:t>
      </w:r>
      <w:r w:rsidR="00D00A21">
        <w:t xml:space="preserve"> since the choice of the reference cycle is</w:t>
      </w:r>
      <w:r w:rsidR="00BD7A2B">
        <w:t>,</w:t>
      </w:r>
      <w:r w:rsidR="00D00A21">
        <w:t xml:space="preserve"> at times</w:t>
      </w:r>
      <w:r w:rsidR="00BD7A2B">
        <w:t>,</w:t>
      </w:r>
      <w:r w:rsidR="00D00A21">
        <w:t xml:space="preserve"> pretty straightforward. In this paper, cyclical fluctuations in oil price return and volatility are used as</w:t>
      </w:r>
      <w:r w:rsidR="00BD7A2B">
        <w:t xml:space="preserve"> the</w:t>
      </w:r>
      <w:r w:rsidR="00D00A21">
        <w:t xml:space="preserve"> reference</w:t>
      </w:r>
      <w:r w:rsidR="00BD7A2B">
        <w:t>s</w:t>
      </w:r>
      <w:r w:rsidR="00D00A21">
        <w:t>. The shortcoming of fixing the reference c</w:t>
      </w:r>
      <w:r w:rsidR="005764FE">
        <w:t xml:space="preserve">ycle is that </w:t>
      </w:r>
      <w:r w:rsidR="00D00A21">
        <w:t>spillovers from other sectors cannot be</w:t>
      </w:r>
      <w:r w:rsidR="005764FE">
        <w:t xml:space="preserve"> factored</w:t>
      </w:r>
      <w:r w:rsidR="00D00A21">
        <w:t xml:space="preserve"> </w:t>
      </w:r>
      <w:r w:rsidR="005764FE">
        <w:t>in</w:t>
      </w:r>
      <w:r w:rsidR="00BD7A2B">
        <w:t>to</w:t>
      </w:r>
      <w:r w:rsidR="005764FE">
        <w:t xml:space="preserve"> computation of the </w:t>
      </w:r>
      <w:r w:rsidR="00E2366B">
        <w:t xml:space="preserve">bivariate </w:t>
      </w:r>
      <w:r w:rsidR="005764FE">
        <w:t>synchronicity measure.</w:t>
      </w:r>
    </w:p>
    <w:p w:rsidR="00E91455" w:rsidRPr="00E91455" w:rsidRDefault="00E91455" w:rsidP="00E91455">
      <w:pPr>
        <w:rPr>
          <w:rFonts w:ascii="Calibri" w:hAnsi="Calibri"/>
          <w:color w:val="000000"/>
        </w:rPr>
      </w:pPr>
      <w:r w:rsidRPr="00E91455">
        <w:rPr>
          <w:rFonts w:ascii="Calibri" w:hAnsi="Calibri"/>
          <w:color w:val="000000"/>
        </w:rPr>
        <w:t>In its simplest form, the bivariate version of the synchronicity measure between the reference cycle (</w:t>
      </w:r>
      <w:r w:rsidRPr="00E91455">
        <w:rPr>
          <w:rFonts w:ascii="Calibri" w:hAnsi="Calibri"/>
          <w:i/>
          <w:color w:val="000000"/>
        </w:rPr>
        <w:t>g</w:t>
      </w:r>
      <w:r w:rsidRPr="00E91455">
        <w:rPr>
          <w:rFonts w:ascii="Calibri" w:hAnsi="Calibri"/>
          <w:i/>
          <w:color w:val="000000"/>
          <w:vertAlign w:val="subscript"/>
        </w:rPr>
        <w:t>r,t</w:t>
      </w:r>
      <w:r w:rsidR="00A06C94">
        <w:rPr>
          <w:rFonts w:ascii="Calibri" w:hAnsi="Calibri"/>
          <w:color w:val="000000"/>
        </w:rPr>
        <w:t xml:space="preserve">) and the individual </w:t>
      </w:r>
      <w:r w:rsidRPr="00E91455">
        <w:rPr>
          <w:rFonts w:ascii="Calibri" w:hAnsi="Calibri"/>
          <w:color w:val="000000"/>
        </w:rPr>
        <w:t>cycle (</w:t>
      </w:r>
      <w:r w:rsidRPr="00E91455">
        <w:rPr>
          <w:rFonts w:ascii="Calibri" w:hAnsi="Calibri"/>
          <w:i/>
          <w:color w:val="000000"/>
        </w:rPr>
        <w:t>g</w:t>
      </w:r>
      <w:r w:rsidRPr="00E91455">
        <w:rPr>
          <w:rFonts w:ascii="Calibri" w:hAnsi="Calibri"/>
          <w:i/>
          <w:color w:val="000000"/>
          <w:vertAlign w:val="subscript"/>
        </w:rPr>
        <w:t>i,t</w:t>
      </w:r>
      <w:r w:rsidRPr="00E91455">
        <w:rPr>
          <w:rFonts w:ascii="Calibri" w:hAnsi="Calibri"/>
          <w:color w:val="000000"/>
        </w:rPr>
        <w:t>) as proposed by Mink et al. is represented as follows:</w:t>
      </w:r>
    </w:p>
    <w:p w:rsidR="00E91455" w:rsidRPr="00E91455" w:rsidRDefault="00B93993" w:rsidP="00E91455">
      <w:pPr>
        <w:rPr>
          <w:rFonts w:ascii="Calibri" w:hAnsi="Calibri"/>
          <w:color w:val="000000"/>
        </w:rPr>
      </w:pPr>
      <m:oMath>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rPr>
              <m:t>i,r,t</m:t>
            </m:r>
          </m:sub>
        </m:sSub>
        <m:r>
          <w:rPr>
            <w:rFonts w:ascii="Cambria Math" w:hAnsi="Cambria Math"/>
            <w:color w:val="000000"/>
          </w:rPr>
          <m:t>=</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i,t</m:t>
                </m:r>
              </m:sub>
            </m:sSub>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r,t</m:t>
                </m:r>
              </m:sub>
            </m:sSub>
          </m:num>
          <m:den>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i,t</m:t>
                    </m:r>
                  </m:sub>
                </m:sSub>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r,t</m:t>
                    </m:r>
                  </m:sub>
                </m:sSub>
              </m:e>
            </m:d>
          </m:den>
        </m:f>
      </m:oMath>
      <w:r w:rsidR="00E91455" w:rsidRPr="00E91455">
        <w:rPr>
          <w:rFonts w:ascii="Calibri" w:hAnsi="Calibri"/>
          <w:color w:val="000000"/>
        </w:rPr>
        <w:t xml:space="preserve"> </w:t>
      </w:r>
      <w:r w:rsidR="00E91455" w:rsidRPr="00E91455">
        <w:rPr>
          <w:rFonts w:ascii="Calibri" w:hAnsi="Calibri"/>
          <w:color w:val="000000"/>
        </w:rPr>
        <w:tab/>
      </w:r>
      <w:r w:rsidR="00E91455" w:rsidRPr="00E91455">
        <w:rPr>
          <w:rFonts w:ascii="Calibri" w:hAnsi="Calibri"/>
          <w:color w:val="000000"/>
        </w:rPr>
        <w:tab/>
      </w:r>
      <w:r w:rsidR="00E91455" w:rsidRPr="00E91455">
        <w:rPr>
          <w:rFonts w:ascii="Calibri" w:hAnsi="Calibri"/>
          <w:color w:val="000000"/>
        </w:rPr>
        <w:tab/>
      </w:r>
      <w:r w:rsidR="00E91455" w:rsidRPr="00E91455">
        <w:rPr>
          <w:rFonts w:ascii="Calibri" w:hAnsi="Calibri"/>
          <w:color w:val="000000"/>
        </w:rPr>
        <w:tab/>
      </w:r>
      <w:r w:rsidR="00E91455" w:rsidRPr="00E91455">
        <w:rPr>
          <w:rFonts w:ascii="Calibri" w:hAnsi="Calibri"/>
          <w:color w:val="000000"/>
        </w:rPr>
        <w:tab/>
      </w:r>
      <w:r w:rsidR="00E91455" w:rsidRPr="00E91455">
        <w:rPr>
          <w:rFonts w:ascii="Calibri" w:hAnsi="Calibri"/>
          <w:color w:val="000000"/>
        </w:rPr>
        <w:tab/>
      </w:r>
      <w:r w:rsidR="00E91455" w:rsidRPr="00E91455">
        <w:rPr>
          <w:rFonts w:ascii="Calibri" w:hAnsi="Calibri"/>
          <w:color w:val="000000"/>
        </w:rPr>
        <w:tab/>
      </w:r>
      <w:r w:rsidR="00E91455" w:rsidRPr="00E91455">
        <w:rPr>
          <w:rFonts w:ascii="Calibri" w:hAnsi="Calibri"/>
          <w:color w:val="000000"/>
        </w:rPr>
        <w:tab/>
        <w:t>(5)</w:t>
      </w:r>
    </w:p>
    <w:p w:rsidR="00E91455" w:rsidRPr="00E91455" w:rsidRDefault="00E91455" w:rsidP="00E91455">
      <w:pPr>
        <w:rPr>
          <w:rFonts w:ascii="Calibri" w:hAnsi="Calibri"/>
          <w:color w:val="000000"/>
        </w:rPr>
      </w:pPr>
    </w:p>
    <w:p w:rsidR="00E91455" w:rsidRPr="00E91455" w:rsidRDefault="00E91455" w:rsidP="00E91455">
      <w:pPr>
        <w:rPr>
          <w:rFonts w:ascii="Calibri" w:hAnsi="Calibri"/>
          <w:color w:val="000000"/>
        </w:rPr>
      </w:pPr>
      <w:r w:rsidRPr="00E91455">
        <w:rPr>
          <w:rFonts w:ascii="Calibri" w:hAnsi="Calibri"/>
          <w:color w:val="000000"/>
        </w:rPr>
        <w:lastRenderedPageBreak/>
        <w:t xml:space="preserve">This synchronicity measure takes </w:t>
      </w:r>
      <w:r w:rsidR="00BD7A2B">
        <w:rPr>
          <w:rFonts w:ascii="Calibri" w:hAnsi="Calibri"/>
          <w:color w:val="000000"/>
        </w:rPr>
        <w:t>a</w:t>
      </w:r>
      <w:r w:rsidR="00BD7A2B" w:rsidRPr="00E91455">
        <w:rPr>
          <w:rFonts w:ascii="Calibri" w:hAnsi="Calibri"/>
          <w:color w:val="000000"/>
        </w:rPr>
        <w:t xml:space="preserve"> </w:t>
      </w:r>
      <w:r w:rsidRPr="00E91455">
        <w:rPr>
          <w:rFonts w:ascii="Calibri" w:hAnsi="Calibri"/>
          <w:color w:val="000000"/>
        </w:rPr>
        <w:t>value of 1 when the reference cycle and the individual cycle have the same sign and -1 when they move in opposite directions. The percentage of time</w:t>
      </w:r>
      <w:r w:rsidR="00BD7A2B">
        <w:rPr>
          <w:rFonts w:ascii="Calibri" w:hAnsi="Calibri"/>
          <w:color w:val="000000"/>
        </w:rPr>
        <w:t xml:space="preserve"> that</w:t>
      </w:r>
      <w:r w:rsidRPr="00E91455">
        <w:rPr>
          <w:rFonts w:ascii="Calibri" w:hAnsi="Calibri"/>
          <w:color w:val="000000"/>
        </w:rPr>
        <w:t xml:space="preserve"> </w:t>
      </w:r>
      <w:r w:rsidRPr="00E91455">
        <w:rPr>
          <w:rFonts w:ascii="Calibri" w:hAnsi="Calibri"/>
          <w:i/>
          <w:color w:val="000000"/>
        </w:rPr>
        <w:t>φ</w:t>
      </w:r>
      <w:r w:rsidRPr="00E91455">
        <w:rPr>
          <w:rFonts w:ascii="Calibri" w:hAnsi="Calibri"/>
          <w:i/>
          <w:color w:val="000000"/>
          <w:vertAlign w:val="subscript"/>
        </w:rPr>
        <w:t>i,r,t</w:t>
      </w:r>
      <w:r w:rsidRPr="00E91455">
        <w:rPr>
          <w:rFonts w:ascii="Calibri" w:hAnsi="Calibri"/>
          <w:color w:val="000000"/>
        </w:rPr>
        <w:t xml:space="preserve"> </w:t>
      </w:r>
      <w:r w:rsidR="00BD7A2B">
        <w:rPr>
          <w:rFonts w:ascii="Calibri" w:hAnsi="Calibri"/>
          <w:color w:val="000000"/>
        </w:rPr>
        <w:t>=</w:t>
      </w:r>
      <w:r w:rsidR="00BD7A2B" w:rsidRPr="00E91455">
        <w:rPr>
          <w:rFonts w:ascii="Calibri" w:hAnsi="Calibri"/>
          <w:color w:val="000000"/>
        </w:rPr>
        <w:t xml:space="preserve"> </w:t>
      </w:r>
      <w:r w:rsidRPr="00E91455">
        <w:rPr>
          <w:rFonts w:ascii="Calibri" w:hAnsi="Calibri"/>
          <w:color w:val="000000"/>
        </w:rPr>
        <w:t>1 is a number that lies in the interval [0,1]</w:t>
      </w:r>
      <w:r w:rsidR="00C8681B">
        <w:rPr>
          <w:rFonts w:ascii="Calibri" w:hAnsi="Calibri"/>
          <w:color w:val="000000"/>
        </w:rPr>
        <w:t xml:space="preserve">. We use three benchmarks </w:t>
      </w:r>
      <w:r w:rsidR="007E6AAD">
        <w:rPr>
          <w:rFonts w:ascii="Calibri" w:hAnsi="Calibri"/>
          <w:color w:val="000000"/>
        </w:rPr>
        <w:t xml:space="preserve">to assess the extent of synchronicity. First, </w:t>
      </w:r>
      <w:r w:rsidR="000C29ED">
        <w:rPr>
          <w:rFonts w:ascii="Calibri" w:hAnsi="Calibri"/>
          <w:color w:val="000000"/>
        </w:rPr>
        <w:t xml:space="preserve">as a soft approach, </w:t>
      </w:r>
      <w:r w:rsidR="007E6AAD">
        <w:rPr>
          <w:rFonts w:ascii="Calibri" w:hAnsi="Calibri"/>
          <w:color w:val="000000"/>
        </w:rPr>
        <w:t xml:space="preserve">we classify </w:t>
      </w:r>
      <w:r w:rsidR="006130AB">
        <w:rPr>
          <w:rFonts w:ascii="Calibri" w:hAnsi="Calibri"/>
          <w:color w:val="000000"/>
        </w:rPr>
        <w:t>the synchronicity as low if</w:t>
      </w:r>
      <w:r w:rsidRPr="00E91455">
        <w:rPr>
          <w:rFonts w:ascii="Calibri" w:hAnsi="Calibri"/>
          <w:color w:val="000000"/>
        </w:rPr>
        <w:t xml:space="preserve"> </w:t>
      </w:r>
      <w:r w:rsidR="006130AB" w:rsidRPr="00E91455">
        <w:rPr>
          <w:rFonts w:ascii="Calibri" w:hAnsi="Calibri"/>
          <w:i/>
          <w:color w:val="000000"/>
        </w:rPr>
        <w:t>φ</w:t>
      </w:r>
      <w:r w:rsidR="006130AB" w:rsidRPr="00E91455">
        <w:rPr>
          <w:rFonts w:ascii="Calibri" w:hAnsi="Calibri"/>
          <w:i/>
          <w:color w:val="000000"/>
          <w:vertAlign w:val="subscript"/>
        </w:rPr>
        <w:t>i,r,t</w:t>
      </w:r>
      <w:r w:rsidR="006130AB" w:rsidRPr="00E91455">
        <w:rPr>
          <w:rFonts w:ascii="Calibri" w:hAnsi="Calibri"/>
          <w:color w:val="000000"/>
        </w:rPr>
        <w:t xml:space="preserve"> </w:t>
      </w:r>
      <w:r w:rsidR="006130AB">
        <w:rPr>
          <w:rFonts w:ascii="Calibri" w:hAnsi="Calibri"/>
          <w:color w:val="000000"/>
        </w:rPr>
        <w:t xml:space="preserve">&lt; </w:t>
      </w:r>
      <w:r w:rsidR="006130AB" w:rsidRPr="006130AB">
        <w:rPr>
          <w:rFonts w:ascii="Calibri" w:hAnsi="Calibri"/>
          <w:i/>
          <w:color w:val="000000"/>
        </w:rPr>
        <w:t>0.40</w:t>
      </w:r>
      <w:r w:rsidR="006130AB">
        <w:rPr>
          <w:rFonts w:ascii="Calibri" w:hAnsi="Calibri"/>
          <w:color w:val="000000"/>
        </w:rPr>
        <w:t>, mild if</w:t>
      </w:r>
      <w:r w:rsidR="006130AB" w:rsidRPr="006130AB">
        <w:rPr>
          <w:rFonts w:ascii="Calibri" w:hAnsi="Calibri"/>
          <w:i/>
          <w:color w:val="000000"/>
        </w:rPr>
        <w:t xml:space="preserve"> </w:t>
      </w:r>
      <w:r w:rsidR="006130AB">
        <w:rPr>
          <w:rFonts w:ascii="Calibri" w:hAnsi="Calibri"/>
          <w:i/>
          <w:color w:val="000000"/>
        </w:rPr>
        <w:t xml:space="preserve">0.40 </w:t>
      </w:r>
      <w:r w:rsidR="006130AB">
        <w:rPr>
          <w:rFonts w:ascii="Lucida Bright" w:hAnsi="Lucida Bright"/>
          <w:i/>
          <w:color w:val="000000"/>
        </w:rPr>
        <w:t xml:space="preserve">≤ </w:t>
      </w:r>
      <w:r w:rsidR="006130AB" w:rsidRPr="00E91455">
        <w:rPr>
          <w:rFonts w:ascii="Calibri" w:hAnsi="Calibri"/>
          <w:i/>
          <w:color w:val="000000"/>
        </w:rPr>
        <w:t>φ</w:t>
      </w:r>
      <w:r w:rsidR="006130AB" w:rsidRPr="00E91455">
        <w:rPr>
          <w:rFonts w:ascii="Calibri" w:hAnsi="Calibri"/>
          <w:i/>
          <w:color w:val="000000"/>
          <w:vertAlign w:val="subscript"/>
        </w:rPr>
        <w:t>i,r,t</w:t>
      </w:r>
      <w:r w:rsidR="006130AB">
        <w:rPr>
          <w:rFonts w:ascii="Calibri" w:hAnsi="Calibri"/>
          <w:i/>
          <w:color w:val="000000"/>
          <w:vertAlign w:val="subscript"/>
        </w:rPr>
        <w:t xml:space="preserve"> </w:t>
      </w:r>
      <w:r w:rsidR="006130AB">
        <w:rPr>
          <w:rFonts w:ascii="Lucida Bright" w:hAnsi="Lucida Bright"/>
          <w:i/>
          <w:color w:val="000000"/>
        </w:rPr>
        <w:t>≤</w:t>
      </w:r>
      <w:r w:rsidR="006130AB">
        <w:rPr>
          <w:rFonts w:ascii="Calibri" w:hAnsi="Calibri"/>
          <w:i/>
          <w:color w:val="000000"/>
        </w:rPr>
        <w:t xml:space="preserve"> 0.60</w:t>
      </w:r>
      <w:r w:rsidR="006130AB">
        <w:rPr>
          <w:rFonts w:ascii="Calibri" w:hAnsi="Calibri"/>
          <w:color w:val="000000"/>
        </w:rPr>
        <w:t xml:space="preserve">, and strong if </w:t>
      </w:r>
      <w:r w:rsidR="006130AB" w:rsidRPr="00E91455">
        <w:rPr>
          <w:rFonts w:ascii="Calibri" w:hAnsi="Calibri"/>
          <w:i/>
          <w:color w:val="000000"/>
        </w:rPr>
        <w:t>φ</w:t>
      </w:r>
      <w:r w:rsidR="006130AB" w:rsidRPr="00E91455">
        <w:rPr>
          <w:rFonts w:ascii="Calibri" w:hAnsi="Calibri"/>
          <w:i/>
          <w:color w:val="000000"/>
          <w:vertAlign w:val="subscript"/>
        </w:rPr>
        <w:t>i,r,t</w:t>
      </w:r>
      <w:r w:rsidR="006130AB" w:rsidRPr="00E91455">
        <w:rPr>
          <w:rFonts w:ascii="Calibri" w:hAnsi="Calibri"/>
          <w:color w:val="000000"/>
        </w:rPr>
        <w:t xml:space="preserve"> </w:t>
      </w:r>
      <w:r w:rsidR="000C29ED">
        <w:rPr>
          <w:rFonts w:ascii="Calibri" w:hAnsi="Calibri"/>
          <w:color w:val="000000"/>
        </w:rPr>
        <w:t xml:space="preserve">&gt; 0.60. Second, we use a cold-turkey approach in adopting </w:t>
      </w:r>
      <w:r w:rsidRPr="00E91455">
        <w:rPr>
          <w:rFonts w:ascii="Calibri" w:hAnsi="Calibri"/>
          <w:color w:val="000000"/>
        </w:rPr>
        <w:t>a cut-off point of 0.50</w:t>
      </w:r>
      <w:r w:rsidR="000C29ED">
        <w:rPr>
          <w:rFonts w:ascii="Calibri" w:hAnsi="Calibri"/>
          <w:color w:val="000000"/>
        </w:rPr>
        <w:t>, above (below)</w:t>
      </w:r>
      <w:r w:rsidR="004F377C">
        <w:rPr>
          <w:rFonts w:ascii="Calibri" w:hAnsi="Calibri"/>
          <w:color w:val="000000"/>
        </w:rPr>
        <w:t xml:space="preserve"> </w:t>
      </w:r>
      <w:r w:rsidR="000C29ED">
        <w:rPr>
          <w:rFonts w:ascii="Calibri" w:hAnsi="Calibri"/>
          <w:color w:val="000000"/>
        </w:rPr>
        <w:t>whi</w:t>
      </w:r>
      <w:r w:rsidR="004F377C">
        <w:rPr>
          <w:rFonts w:ascii="Calibri" w:hAnsi="Calibri"/>
          <w:color w:val="000000"/>
        </w:rPr>
        <w:t xml:space="preserve">ch </w:t>
      </w:r>
      <w:r w:rsidRPr="00E91455">
        <w:rPr>
          <w:rFonts w:ascii="Calibri" w:hAnsi="Calibri"/>
          <w:color w:val="000000"/>
        </w:rPr>
        <w:t xml:space="preserve">the cycles are </w:t>
      </w:r>
      <w:r w:rsidR="004F377C">
        <w:rPr>
          <w:rFonts w:ascii="Calibri" w:hAnsi="Calibri"/>
          <w:color w:val="000000"/>
        </w:rPr>
        <w:t xml:space="preserve">synchronous (asynchronous), and at which the cycles are </w:t>
      </w:r>
      <w:r w:rsidRPr="00E91455">
        <w:rPr>
          <w:rFonts w:ascii="Calibri" w:hAnsi="Calibri"/>
          <w:color w:val="000000"/>
        </w:rPr>
        <w:t>neither</w:t>
      </w:r>
      <w:r w:rsidR="00BD7A2B">
        <w:rPr>
          <w:rFonts w:ascii="Calibri" w:hAnsi="Calibri"/>
          <w:color w:val="000000"/>
        </w:rPr>
        <w:t xml:space="preserve"> one nor the other</w:t>
      </w:r>
      <w:r w:rsidR="004F377C">
        <w:rPr>
          <w:rFonts w:ascii="Calibri" w:hAnsi="Calibri"/>
          <w:color w:val="000000"/>
        </w:rPr>
        <w:t>.</w:t>
      </w:r>
      <w:r w:rsidRPr="00E91455">
        <w:rPr>
          <w:rFonts w:ascii="Calibri" w:hAnsi="Calibri"/>
          <w:color w:val="000000"/>
        </w:rPr>
        <w:t xml:space="preserve"> </w:t>
      </w:r>
      <w:r w:rsidR="00344BFF">
        <w:rPr>
          <w:rFonts w:ascii="Calibri" w:hAnsi="Calibri"/>
          <w:color w:val="000000"/>
        </w:rPr>
        <w:t xml:space="preserve">The </w:t>
      </w:r>
      <w:r w:rsidR="00BD7A2B">
        <w:rPr>
          <w:rFonts w:ascii="Calibri" w:hAnsi="Calibri"/>
          <w:color w:val="000000"/>
        </w:rPr>
        <w:t>number of times</w:t>
      </w:r>
      <w:r w:rsidR="004F377C">
        <w:rPr>
          <w:rFonts w:ascii="Calibri" w:hAnsi="Calibri"/>
          <w:color w:val="000000"/>
        </w:rPr>
        <w:t xml:space="preserve"> </w:t>
      </w:r>
      <w:r w:rsidR="004F377C" w:rsidRPr="00E91455">
        <w:rPr>
          <w:rFonts w:ascii="Calibri" w:hAnsi="Calibri"/>
          <w:i/>
          <w:color w:val="000000"/>
        </w:rPr>
        <w:t>φ</w:t>
      </w:r>
      <w:r w:rsidR="004F377C" w:rsidRPr="00E91455">
        <w:rPr>
          <w:rFonts w:ascii="Calibri" w:hAnsi="Calibri"/>
          <w:i/>
          <w:color w:val="000000"/>
          <w:vertAlign w:val="subscript"/>
        </w:rPr>
        <w:t>i,r,t</w:t>
      </w:r>
      <w:r w:rsidR="004F377C">
        <w:rPr>
          <w:rFonts w:ascii="Calibri" w:hAnsi="Calibri"/>
          <w:color w:val="000000"/>
        </w:rPr>
        <w:t xml:space="preserve"> &gt; 0.50</w:t>
      </w:r>
      <w:r w:rsidR="00FB3D39">
        <w:rPr>
          <w:rFonts w:ascii="Calibri" w:hAnsi="Calibri"/>
          <w:color w:val="000000"/>
        </w:rPr>
        <w:t xml:space="preserve"> divided by the total number of </w:t>
      </w:r>
      <w:r w:rsidR="00FB3D39" w:rsidRPr="00E91455">
        <w:rPr>
          <w:rFonts w:ascii="Calibri" w:hAnsi="Calibri"/>
          <w:i/>
          <w:color w:val="000000"/>
        </w:rPr>
        <w:t>φ</w:t>
      </w:r>
      <w:r w:rsidR="00FB3D39" w:rsidRPr="00E91455">
        <w:rPr>
          <w:rFonts w:ascii="Calibri" w:hAnsi="Calibri"/>
          <w:i/>
          <w:color w:val="000000"/>
          <w:vertAlign w:val="subscript"/>
        </w:rPr>
        <w:t>i,r,t</w:t>
      </w:r>
      <w:r w:rsidR="00FB3D39" w:rsidRPr="00E91455">
        <w:rPr>
          <w:rFonts w:ascii="Calibri" w:hAnsi="Calibri"/>
          <w:color w:val="000000"/>
        </w:rPr>
        <w:t xml:space="preserve"> </w:t>
      </w:r>
      <w:r w:rsidR="00BD7A2B">
        <w:rPr>
          <w:rFonts w:ascii="Calibri" w:hAnsi="Calibri"/>
          <w:color w:val="000000"/>
        </w:rPr>
        <w:t xml:space="preserve">values </w:t>
      </w:r>
      <w:r w:rsidR="00344BFF">
        <w:rPr>
          <w:rFonts w:ascii="Calibri" w:hAnsi="Calibri"/>
          <w:color w:val="000000"/>
        </w:rPr>
        <w:t>is the overall measure of synchronicity between the individual cycles and the oil price cycle for a country.</w:t>
      </w:r>
      <w:r w:rsidR="00FD065B">
        <w:rPr>
          <w:rFonts w:ascii="Calibri" w:hAnsi="Calibri"/>
          <w:color w:val="000000"/>
        </w:rPr>
        <w:t xml:space="preserve"> Third, we produce an average of all</w:t>
      </w:r>
      <w:r w:rsidR="00FD065B" w:rsidRPr="00FD065B">
        <w:rPr>
          <w:rFonts w:ascii="Calibri" w:hAnsi="Calibri"/>
          <w:i/>
          <w:color w:val="000000"/>
        </w:rPr>
        <w:t xml:space="preserve"> </w:t>
      </w:r>
      <w:r w:rsidR="00FD065B" w:rsidRPr="00E91455">
        <w:rPr>
          <w:rFonts w:ascii="Calibri" w:hAnsi="Calibri"/>
          <w:i/>
          <w:color w:val="000000"/>
        </w:rPr>
        <w:t>φ</w:t>
      </w:r>
      <w:r w:rsidR="00FD065B" w:rsidRPr="00E91455">
        <w:rPr>
          <w:rFonts w:ascii="Calibri" w:hAnsi="Calibri"/>
          <w:i/>
          <w:color w:val="000000"/>
          <w:vertAlign w:val="subscript"/>
        </w:rPr>
        <w:t>i,r,t</w:t>
      </w:r>
      <w:r w:rsidR="00FD065B">
        <w:rPr>
          <w:rFonts w:ascii="Calibri" w:hAnsi="Calibri"/>
          <w:color w:val="000000"/>
        </w:rPr>
        <w:t xml:space="preserve"> &gt; 0.50 . </w:t>
      </w:r>
      <w:r w:rsidR="00344BFF">
        <w:rPr>
          <w:rStyle w:val="FootnoteReference"/>
          <w:rFonts w:ascii="Calibri" w:hAnsi="Calibri"/>
          <w:color w:val="000000"/>
        </w:rPr>
        <w:footnoteReference w:id="12"/>
      </w:r>
      <w:r w:rsidR="00344BFF">
        <w:rPr>
          <w:rFonts w:ascii="Calibri" w:hAnsi="Calibri"/>
          <w:color w:val="000000"/>
        </w:rPr>
        <w:t xml:space="preserve"> </w:t>
      </w:r>
    </w:p>
    <w:p w:rsidR="00E91455" w:rsidRPr="00E91455" w:rsidRDefault="00E91455" w:rsidP="00E91455">
      <w:pPr>
        <w:rPr>
          <w:rFonts w:ascii="Calibri" w:hAnsi="Calibri"/>
          <w:color w:val="000000"/>
        </w:rPr>
      </w:pPr>
      <w:r w:rsidRPr="00E91455">
        <w:rPr>
          <w:rFonts w:ascii="Calibri" w:hAnsi="Calibri"/>
          <w:color w:val="000000"/>
        </w:rPr>
        <w:t>The multivariate version of the synchronicity measure</w:t>
      </w:r>
      <w:r w:rsidR="00BD7A2B">
        <w:rPr>
          <w:rFonts w:ascii="Calibri" w:hAnsi="Calibri"/>
          <w:color w:val="000000"/>
        </w:rPr>
        <w:t>,</w:t>
      </w:r>
      <w:r w:rsidRPr="00E91455">
        <w:rPr>
          <w:rFonts w:ascii="Calibri" w:hAnsi="Calibri"/>
          <w:color w:val="000000"/>
        </w:rPr>
        <w:t xml:space="preserve"> as per Mink </w:t>
      </w:r>
      <w:r w:rsidR="00E1141E" w:rsidRPr="00E1141E">
        <w:rPr>
          <w:rFonts w:ascii="Calibri" w:hAnsi="Calibri"/>
          <w:i/>
          <w:color w:val="000000"/>
        </w:rPr>
        <w:t>et al.</w:t>
      </w:r>
      <w:r w:rsidRPr="00E91455">
        <w:rPr>
          <w:rFonts w:ascii="Calibri" w:hAnsi="Calibri"/>
          <w:color w:val="000000"/>
        </w:rPr>
        <w:t xml:space="preserve"> (2007)</w:t>
      </w:r>
      <w:r w:rsidR="00BD7A2B">
        <w:rPr>
          <w:rFonts w:ascii="Calibri" w:hAnsi="Calibri"/>
          <w:color w:val="000000"/>
        </w:rPr>
        <w:t>,</w:t>
      </w:r>
      <w:r w:rsidRPr="00E91455">
        <w:rPr>
          <w:rFonts w:ascii="Calibri" w:hAnsi="Calibri"/>
          <w:color w:val="000000"/>
        </w:rPr>
        <w:t xml:space="preserve"> is given by:</w:t>
      </w:r>
    </w:p>
    <w:p w:rsidR="00E91455" w:rsidRPr="00E91455" w:rsidRDefault="00B93993" w:rsidP="00E91455">
      <w:pPr>
        <w:rPr>
          <w:rFonts w:ascii="Calibri" w:hAnsi="Calibri"/>
          <w:color w:val="000000"/>
        </w:rPr>
      </w:pPr>
      <m:oMath>
        <m:sSub>
          <m:sSubPr>
            <m:ctrlPr>
              <w:rPr>
                <w:rFonts w:ascii="Cambria Math" w:hAnsi="Cambria Math"/>
                <w:i/>
                <w:color w:val="000000"/>
              </w:rPr>
            </m:ctrlPr>
          </m:sSubPr>
          <m:e>
            <m:r>
              <w:rPr>
                <w:rFonts w:ascii="Cambria Math" w:hAnsi="Cambria Math"/>
                <w:color w:val="000000"/>
              </w:rPr>
              <m:t>φ</m:t>
            </m:r>
          </m:e>
          <m:sub>
            <m:r>
              <w:rPr>
                <w:rFonts w:ascii="Cambria Math" w:hAnsi="Cambria Math"/>
                <w:color w:val="000000"/>
              </w:rPr>
              <m:t>t</m:t>
            </m:r>
          </m:sub>
        </m:sSub>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i,t</m:t>
                    </m:r>
                  </m:sub>
                </m:sSub>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r,t</m:t>
                    </m:r>
                  </m:sub>
                </m:sSub>
              </m:num>
              <m:den>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i,t</m:t>
                        </m:r>
                      </m:sub>
                    </m:sSub>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r,t</m:t>
                        </m:r>
                      </m:sub>
                    </m:sSub>
                  </m:e>
                </m:d>
              </m:den>
            </m:f>
          </m:e>
        </m:nary>
      </m:oMath>
      <w:r w:rsidR="00BD7A2B">
        <w:rPr>
          <w:rFonts w:ascii="Calibri" w:eastAsiaTheme="minorEastAsia" w:hAnsi="Calibri"/>
          <w:color w:val="000000"/>
        </w:rPr>
        <w:t>,</w:t>
      </w:r>
      <w:r w:rsidR="00E91455" w:rsidRPr="00E91455">
        <w:rPr>
          <w:rFonts w:ascii="Calibri" w:hAnsi="Calibri"/>
          <w:color w:val="000000"/>
        </w:rPr>
        <w:tab/>
      </w:r>
      <w:r w:rsidR="00E91455" w:rsidRPr="00E91455">
        <w:rPr>
          <w:rFonts w:ascii="Calibri" w:hAnsi="Calibri"/>
          <w:color w:val="000000"/>
        </w:rPr>
        <w:tab/>
      </w:r>
      <w:r w:rsidR="00E91455" w:rsidRPr="00E91455">
        <w:rPr>
          <w:rFonts w:ascii="Calibri" w:hAnsi="Calibri"/>
          <w:color w:val="000000"/>
        </w:rPr>
        <w:tab/>
      </w:r>
      <w:r w:rsidR="00E91455" w:rsidRPr="00E91455">
        <w:rPr>
          <w:rFonts w:ascii="Calibri" w:hAnsi="Calibri"/>
          <w:color w:val="000000"/>
        </w:rPr>
        <w:tab/>
      </w:r>
      <w:r w:rsidR="00E91455" w:rsidRPr="00E91455">
        <w:rPr>
          <w:rFonts w:ascii="Calibri" w:hAnsi="Calibri"/>
          <w:color w:val="000000"/>
        </w:rPr>
        <w:tab/>
      </w:r>
      <w:r w:rsidR="00E91455" w:rsidRPr="00E91455">
        <w:rPr>
          <w:rFonts w:ascii="Calibri" w:hAnsi="Calibri"/>
          <w:color w:val="000000"/>
        </w:rPr>
        <w:tab/>
      </w:r>
      <w:r w:rsidR="00E91455" w:rsidRPr="00E91455">
        <w:rPr>
          <w:rFonts w:ascii="Calibri" w:hAnsi="Calibri"/>
          <w:color w:val="000000"/>
        </w:rPr>
        <w:tab/>
      </w:r>
      <w:r w:rsidR="00E91455" w:rsidRPr="00E91455">
        <w:rPr>
          <w:rFonts w:ascii="Calibri" w:hAnsi="Calibri"/>
          <w:color w:val="000000"/>
        </w:rPr>
        <w:tab/>
        <w:t>(6)</w:t>
      </w:r>
    </w:p>
    <w:p w:rsidR="00E91455" w:rsidRPr="00E91455" w:rsidRDefault="00E91455" w:rsidP="00E91455">
      <w:pPr>
        <w:rPr>
          <w:rFonts w:ascii="Calibri" w:hAnsi="Calibri"/>
          <w:color w:val="000000"/>
        </w:rPr>
      </w:pPr>
    </w:p>
    <w:p w:rsidR="00BA0C43" w:rsidRDefault="00BD7A2B" w:rsidP="00E91455">
      <w:pPr>
        <w:rPr>
          <w:rFonts w:ascii="Calibri" w:hAnsi="Calibri"/>
          <w:color w:val="000000"/>
        </w:rPr>
      </w:pPr>
      <w:r>
        <w:rPr>
          <w:rFonts w:ascii="Calibri" w:hAnsi="Calibri"/>
          <w:color w:val="000000"/>
        </w:rPr>
        <w:t>w</w:t>
      </w:r>
      <w:r w:rsidRPr="00E91455">
        <w:rPr>
          <w:rFonts w:ascii="Calibri" w:hAnsi="Calibri"/>
          <w:color w:val="000000"/>
        </w:rPr>
        <w:t>h</w:t>
      </w:r>
      <w:r>
        <w:rPr>
          <w:rFonts w:ascii="Calibri" w:hAnsi="Calibri"/>
          <w:color w:val="000000"/>
        </w:rPr>
        <w:t xml:space="preserve">ere </w:t>
      </w:r>
      <w:r w:rsidR="00E1141E" w:rsidRPr="00E1141E">
        <w:rPr>
          <w:rFonts w:ascii="Calibri" w:hAnsi="Calibri"/>
          <w:i/>
          <w:color w:val="000000"/>
        </w:rPr>
        <w:t xml:space="preserve">N </w:t>
      </w:r>
      <w:r w:rsidR="00FD065B">
        <w:rPr>
          <w:rFonts w:ascii="Calibri" w:hAnsi="Calibri"/>
          <w:color w:val="000000"/>
        </w:rPr>
        <w:t xml:space="preserve">is the number of </w:t>
      </w:r>
      <w:r w:rsidR="00BA0C43">
        <w:rPr>
          <w:rFonts w:ascii="Calibri" w:hAnsi="Calibri"/>
          <w:color w:val="000000"/>
        </w:rPr>
        <w:t xml:space="preserve">cycle pairs. </w:t>
      </w:r>
      <w:r w:rsidR="00E91455" w:rsidRPr="00E91455">
        <w:rPr>
          <w:rFonts w:ascii="Calibri" w:hAnsi="Calibri"/>
          <w:color w:val="000000"/>
        </w:rPr>
        <w:t>This equation tells us the average synchronicity of the individual countries’ cycles with the reference cycle</w:t>
      </w:r>
      <w:r w:rsidRPr="00BD7A2B">
        <w:rPr>
          <w:rFonts w:ascii="Calibri" w:hAnsi="Calibri"/>
          <w:color w:val="000000"/>
        </w:rPr>
        <w:t xml:space="preserve"> </w:t>
      </w:r>
      <w:r w:rsidRPr="00E91455">
        <w:rPr>
          <w:rFonts w:ascii="Calibri" w:hAnsi="Calibri"/>
          <w:color w:val="000000"/>
        </w:rPr>
        <w:t>at each point in time</w:t>
      </w:r>
      <w:r w:rsidR="00E91455" w:rsidRPr="00E91455">
        <w:rPr>
          <w:rFonts w:ascii="Calibri" w:hAnsi="Calibri"/>
          <w:color w:val="000000"/>
        </w:rPr>
        <w:t>. Positive values of φ</w:t>
      </w:r>
      <w:r w:rsidR="00E91455" w:rsidRPr="00E91455">
        <w:rPr>
          <w:rFonts w:ascii="Calibri" w:hAnsi="Calibri"/>
          <w:color w:val="000000"/>
          <w:vertAlign w:val="subscript"/>
        </w:rPr>
        <w:t>t</w:t>
      </w:r>
      <w:r w:rsidR="00E91455" w:rsidRPr="00E91455">
        <w:rPr>
          <w:rFonts w:ascii="Calibri" w:hAnsi="Calibri"/>
          <w:color w:val="000000"/>
        </w:rPr>
        <w:t xml:space="preserve"> indicate the dominance of synchronous cycles over asynchronous cycles in r</w:t>
      </w:r>
      <w:r w:rsidR="00A06C94">
        <w:rPr>
          <w:rFonts w:ascii="Calibri" w:hAnsi="Calibri"/>
          <w:color w:val="000000"/>
        </w:rPr>
        <w:t xml:space="preserve">elation to the reference </w:t>
      </w:r>
      <w:r w:rsidR="00BA0C43">
        <w:rPr>
          <w:rFonts w:ascii="Calibri" w:hAnsi="Calibri"/>
          <w:color w:val="000000"/>
        </w:rPr>
        <w:t>for a given day</w:t>
      </w:r>
      <w:r w:rsidR="00E91455" w:rsidRPr="00E91455">
        <w:rPr>
          <w:rFonts w:ascii="Calibri" w:hAnsi="Calibri"/>
          <w:color w:val="000000"/>
        </w:rPr>
        <w:t>. We use both version</w:t>
      </w:r>
      <w:r w:rsidR="00B12E3A">
        <w:rPr>
          <w:rFonts w:ascii="Calibri" w:hAnsi="Calibri"/>
          <w:color w:val="000000"/>
        </w:rPr>
        <w:t>s</w:t>
      </w:r>
      <w:r w:rsidR="00E91455" w:rsidRPr="00E91455">
        <w:rPr>
          <w:rFonts w:ascii="Calibri" w:hAnsi="Calibri"/>
          <w:color w:val="000000"/>
        </w:rPr>
        <w:t xml:space="preserve"> of Mink </w:t>
      </w:r>
      <w:r w:rsidR="00E1141E" w:rsidRPr="00E1141E">
        <w:rPr>
          <w:rFonts w:ascii="Calibri" w:hAnsi="Calibri"/>
          <w:i/>
          <w:color w:val="000000"/>
        </w:rPr>
        <w:t>et al.</w:t>
      </w:r>
      <w:r>
        <w:rPr>
          <w:rFonts w:ascii="Calibri" w:hAnsi="Calibri"/>
          <w:color w:val="000000"/>
        </w:rPr>
        <w:t>’s</w:t>
      </w:r>
      <w:r w:rsidR="00E91455" w:rsidRPr="00E91455">
        <w:rPr>
          <w:rFonts w:ascii="Calibri" w:hAnsi="Calibri"/>
          <w:color w:val="000000"/>
        </w:rPr>
        <w:t xml:space="preserve"> synchronicity measure in our investigation of the link</w:t>
      </w:r>
      <w:r w:rsidR="00BA0C43">
        <w:rPr>
          <w:rFonts w:ascii="Calibri" w:hAnsi="Calibri"/>
          <w:color w:val="000000"/>
        </w:rPr>
        <w:t>age between GCC stock markets and</w:t>
      </w:r>
      <w:r>
        <w:rPr>
          <w:rFonts w:ascii="Calibri" w:hAnsi="Calibri"/>
          <w:color w:val="000000"/>
        </w:rPr>
        <w:t xml:space="preserve"> the</w:t>
      </w:r>
      <w:r w:rsidR="00BA0C43">
        <w:rPr>
          <w:rFonts w:ascii="Calibri" w:hAnsi="Calibri"/>
          <w:color w:val="000000"/>
        </w:rPr>
        <w:t xml:space="preserve"> international oil market.</w:t>
      </w:r>
    </w:p>
    <w:p w:rsidR="00BA1325" w:rsidRPr="00936BF6" w:rsidRDefault="00BD7A2B" w:rsidP="005E6E47">
      <w:pPr>
        <w:outlineLvl w:val="0"/>
        <w:rPr>
          <w:rFonts w:ascii="Calibri" w:hAnsi="Calibri"/>
          <w:b/>
          <w:color w:val="000000"/>
        </w:rPr>
      </w:pPr>
      <w:r>
        <w:rPr>
          <w:rFonts w:ascii="Calibri" w:hAnsi="Calibri"/>
          <w:b/>
          <w:color w:val="000000"/>
        </w:rPr>
        <w:t>2.2</w:t>
      </w:r>
      <w:r>
        <w:rPr>
          <w:rFonts w:ascii="Calibri" w:hAnsi="Calibri"/>
          <w:b/>
          <w:color w:val="000000"/>
        </w:rPr>
        <w:tab/>
      </w:r>
      <w:r w:rsidRPr="00936BF6">
        <w:rPr>
          <w:rFonts w:ascii="Calibri" w:hAnsi="Calibri"/>
          <w:b/>
          <w:color w:val="000000"/>
        </w:rPr>
        <w:t>D</w:t>
      </w:r>
      <w:r>
        <w:rPr>
          <w:rFonts w:ascii="Calibri" w:hAnsi="Calibri"/>
          <w:b/>
          <w:color w:val="000000"/>
        </w:rPr>
        <w:t>ynamic</w:t>
      </w:r>
      <w:r w:rsidRPr="00936BF6">
        <w:rPr>
          <w:rFonts w:ascii="Calibri" w:hAnsi="Calibri"/>
          <w:b/>
          <w:color w:val="000000"/>
        </w:rPr>
        <w:t xml:space="preserve"> </w:t>
      </w:r>
      <w:r>
        <w:rPr>
          <w:rFonts w:ascii="Calibri" w:hAnsi="Calibri"/>
          <w:b/>
          <w:color w:val="000000"/>
        </w:rPr>
        <w:t>factor model</w:t>
      </w:r>
    </w:p>
    <w:p w:rsidR="00363877" w:rsidRDefault="00703447" w:rsidP="0070123E">
      <w:pPr>
        <w:rPr>
          <w:rFonts w:ascii="Calibri" w:hAnsi="Calibri"/>
          <w:color w:val="000000"/>
        </w:rPr>
      </w:pPr>
      <w:r>
        <w:rPr>
          <w:rFonts w:ascii="Calibri" w:hAnsi="Calibri"/>
          <w:color w:val="000000"/>
        </w:rPr>
        <w:t>Altho</w:t>
      </w:r>
      <w:r w:rsidR="00B35295">
        <w:rPr>
          <w:rFonts w:ascii="Calibri" w:hAnsi="Calibri"/>
          <w:color w:val="000000"/>
        </w:rPr>
        <w:t>ugh the non-parametric method of</w:t>
      </w:r>
      <w:r>
        <w:rPr>
          <w:rFonts w:ascii="Calibri" w:hAnsi="Calibri"/>
          <w:color w:val="000000"/>
        </w:rPr>
        <w:t xml:space="preserve"> Mink </w:t>
      </w:r>
      <w:r w:rsidR="00E1141E" w:rsidRPr="00E1141E">
        <w:rPr>
          <w:rFonts w:ascii="Calibri" w:hAnsi="Calibri"/>
          <w:i/>
          <w:color w:val="000000"/>
        </w:rPr>
        <w:t>et al.</w:t>
      </w:r>
      <w:r>
        <w:rPr>
          <w:rFonts w:ascii="Calibri" w:hAnsi="Calibri"/>
          <w:color w:val="000000"/>
        </w:rPr>
        <w:t xml:space="preserve"> is quite flexible in accommodating even small data sample</w:t>
      </w:r>
      <w:r w:rsidR="00BD7A2B">
        <w:rPr>
          <w:rFonts w:ascii="Calibri" w:hAnsi="Calibri"/>
          <w:color w:val="000000"/>
        </w:rPr>
        <w:t>s</w:t>
      </w:r>
      <w:r>
        <w:rPr>
          <w:rFonts w:ascii="Calibri" w:hAnsi="Calibri"/>
          <w:color w:val="000000"/>
        </w:rPr>
        <w:t>, there is the possibility that the synchronicity observed may be spurious in that cycles that are not related at all may show co-movement without any underlying common component.</w:t>
      </w:r>
      <w:r w:rsidR="00521378">
        <w:rPr>
          <w:rFonts w:ascii="Calibri" w:hAnsi="Calibri"/>
          <w:color w:val="000000"/>
        </w:rPr>
        <w:t xml:space="preserve"> We attempt to overcome this issue by </w:t>
      </w:r>
      <w:r w:rsidR="000E5B72">
        <w:rPr>
          <w:rFonts w:ascii="Calibri" w:hAnsi="Calibri"/>
          <w:color w:val="000000"/>
        </w:rPr>
        <w:t>reformulating the</w:t>
      </w:r>
      <w:r w:rsidR="00521378">
        <w:rPr>
          <w:rFonts w:ascii="Calibri" w:hAnsi="Calibri"/>
          <w:color w:val="000000"/>
        </w:rPr>
        <w:t xml:space="preserve"> research question without deviating from the main objective. We ask whether GCC stock markets at both the industry- and the country-level are governed by a common factor</w:t>
      </w:r>
      <w:r w:rsidR="00BD7A2B">
        <w:rPr>
          <w:rFonts w:ascii="Calibri" w:hAnsi="Calibri"/>
          <w:color w:val="000000"/>
        </w:rPr>
        <w:t>,</w:t>
      </w:r>
      <w:r w:rsidR="00521378">
        <w:rPr>
          <w:rFonts w:ascii="Calibri" w:hAnsi="Calibri"/>
          <w:color w:val="000000"/>
        </w:rPr>
        <w:t xml:space="preserve"> and whether oil price return and volatility cycles can explain the dynamics of that factor. </w:t>
      </w:r>
    </w:p>
    <w:p w:rsidR="009800B0" w:rsidRDefault="00363877" w:rsidP="00394A29">
      <w:pPr>
        <w:rPr>
          <w:rFonts w:ascii="Calibri" w:hAnsi="Calibri"/>
          <w:color w:val="000000"/>
        </w:rPr>
      </w:pPr>
      <w:r>
        <w:rPr>
          <w:rFonts w:ascii="Calibri" w:hAnsi="Calibri"/>
          <w:color w:val="000000"/>
        </w:rPr>
        <w:t>The d</w:t>
      </w:r>
      <w:r w:rsidR="00394A29" w:rsidRPr="00394A29">
        <w:rPr>
          <w:rFonts w:ascii="Calibri" w:hAnsi="Calibri"/>
          <w:color w:val="000000"/>
        </w:rPr>
        <w:t>ynamic</w:t>
      </w:r>
      <w:r w:rsidR="00703447">
        <w:rPr>
          <w:rFonts w:ascii="Calibri" w:hAnsi="Calibri"/>
          <w:color w:val="000000"/>
        </w:rPr>
        <w:t xml:space="preserve"> </w:t>
      </w:r>
      <w:r w:rsidR="00394A29" w:rsidRPr="00394A29">
        <w:rPr>
          <w:rFonts w:ascii="Calibri" w:hAnsi="Calibri"/>
          <w:color w:val="000000"/>
        </w:rPr>
        <w:t>factor</w:t>
      </w:r>
      <w:r w:rsidR="009800B0">
        <w:rPr>
          <w:rFonts w:ascii="Calibri" w:hAnsi="Calibri"/>
          <w:color w:val="000000"/>
        </w:rPr>
        <w:t xml:space="preserve"> (DF)</w:t>
      </w:r>
      <w:r w:rsidR="00703447">
        <w:rPr>
          <w:rFonts w:ascii="Calibri" w:hAnsi="Calibri"/>
          <w:color w:val="000000"/>
        </w:rPr>
        <w:t xml:space="preserve"> </w:t>
      </w:r>
      <w:r>
        <w:rPr>
          <w:rFonts w:ascii="Calibri" w:hAnsi="Calibri"/>
          <w:color w:val="000000"/>
        </w:rPr>
        <w:t xml:space="preserve">models as developed by </w:t>
      </w:r>
      <w:r w:rsidRPr="00394A29">
        <w:rPr>
          <w:rFonts w:ascii="Calibri" w:hAnsi="Calibri"/>
          <w:color w:val="000000"/>
        </w:rPr>
        <w:t>Geweke (1977),</w:t>
      </w:r>
      <w:r>
        <w:rPr>
          <w:rFonts w:ascii="Calibri" w:hAnsi="Calibri"/>
          <w:color w:val="000000"/>
        </w:rPr>
        <w:t xml:space="preserve"> </w:t>
      </w:r>
      <w:r w:rsidRPr="00394A29">
        <w:rPr>
          <w:rFonts w:ascii="Calibri" w:hAnsi="Calibri"/>
          <w:color w:val="000000"/>
        </w:rPr>
        <w:t>Sargent and Sims (1977), Stock and Watson (1989, 1991), and Watson and Engle (1983</w:t>
      </w:r>
      <w:r>
        <w:rPr>
          <w:rFonts w:ascii="Calibri" w:hAnsi="Calibri"/>
          <w:color w:val="000000"/>
        </w:rPr>
        <w:t xml:space="preserve">) consist </w:t>
      </w:r>
      <w:r w:rsidR="005E0C84">
        <w:rPr>
          <w:rFonts w:ascii="Calibri" w:hAnsi="Calibri"/>
          <w:color w:val="000000"/>
        </w:rPr>
        <w:t>in</w:t>
      </w:r>
      <w:r w:rsidR="00BD7A2B">
        <w:rPr>
          <w:rFonts w:ascii="Calibri" w:hAnsi="Calibri"/>
          <w:color w:val="000000"/>
        </w:rPr>
        <w:t xml:space="preserve"> </w:t>
      </w:r>
      <w:r>
        <w:rPr>
          <w:rFonts w:ascii="Calibri" w:hAnsi="Calibri"/>
          <w:color w:val="000000"/>
        </w:rPr>
        <w:t xml:space="preserve">estimating </w:t>
      </w:r>
      <w:r w:rsidR="00394A29" w:rsidRPr="00394A29">
        <w:rPr>
          <w:rFonts w:ascii="Calibri" w:hAnsi="Calibri"/>
          <w:color w:val="000000"/>
        </w:rPr>
        <w:t xml:space="preserve">a vector of </w:t>
      </w:r>
      <w:r w:rsidR="00E1141E" w:rsidRPr="00E1141E">
        <w:rPr>
          <w:rFonts w:ascii="Calibri" w:hAnsi="Calibri"/>
          <w:i/>
          <w:color w:val="000000"/>
        </w:rPr>
        <w:t>n</w:t>
      </w:r>
      <w:r w:rsidR="00394A29" w:rsidRPr="00394A29">
        <w:rPr>
          <w:rFonts w:ascii="Calibri" w:hAnsi="Calibri"/>
          <w:color w:val="000000"/>
        </w:rPr>
        <w:t xml:space="preserve"> endogenous variables as linear functions of </w:t>
      </w:r>
      <w:r w:rsidR="00E1141E" w:rsidRPr="00E1141E">
        <w:rPr>
          <w:rFonts w:ascii="Calibri" w:hAnsi="Calibri"/>
          <w:i/>
          <w:color w:val="000000"/>
        </w:rPr>
        <w:t>k</w:t>
      </w:r>
      <w:r w:rsidR="00394A29" w:rsidRPr="00394A29">
        <w:rPr>
          <w:rFonts w:ascii="Calibri" w:hAnsi="Calibri"/>
          <w:color w:val="000000"/>
        </w:rPr>
        <w:t xml:space="preserve"> </w:t>
      </w:r>
      <w:r w:rsidR="00534290">
        <w:rPr>
          <w:rFonts w:ascii="Calibri" w:hAnsi="Calibri"/>
          <w:color w:val="000000"/>
        </w:rPr>
        <w:t xml:space="preserve">&lt; </w:t>
      </w:r>
      <w:r w:rsidR="00E1141E" w:rsidRPr="00E1141E">
        <w:rPr>
          <w:rFonts w:ascii="Calibri" w:hAnsi="Calibri"/>
          <w:i/>
          <w:color w:val="000000"/>
        </w:rPr>
        <w:t>n</w:t>
      </w:r>
      <w:r w:rsidR="00394A29" w:rsidRPr="00394A29">
        <w:rPr>
          <w:rFonts w:ascii="Calibri" w:hAnsi="Calibri"/>
          <w:color w:val="000000"/>
        </w:rPr>
        <w:t xml:space="preserve"> unobserved</w:t>
      </w:r>
      <w:r w:rsidR="00703447">
        <w:rPr>
          <w:rFonts w:ascii="Calibri" w:hAnsi="Calibri"/>
          <w:color w:val="000000"/>
        </w:rPr>
        <w:t xml:space="preserve"> </w:t>
      </w:r>
      <w:r w:rsidR="00394A29" w:rsidRPr="00394A29">
        <w:rPr>
          <w:rFonts w:ascii="Calibri" w:hAnsi="Calibri"/>
          <w:color w:val="000000"/>
        </w:rPr>
        <w:t xml:space="preserve">factors and some exogenous covariates. </w:t>
      </w:r>
      <w:r w:rsidR="009800B0">
        <w:rPr>
          <w:rFonts w:ascii="Calibri" w:hAnsi="Calibri"/>
          <w:color w:val="000000"/>
        </w:rPr>
        <w:t xml:space="preserve">The model assumes that the vector </w:t>
      </w:r>
      <w:r w:rsidR="00E1141E" w:rsidRPr="00E1141E">
        <w:rPr>
          <w:rFonts w:ascii="Calibri" w:hAnsi="Calibri"/>
          <w:i/>
          <w:color w:val="000000"/>
        </w:rPr>
        <w:t>Y</w:t>
      </w:r>
      <w:r w:rsidR="009800B0">
        <w:rPr>
          <w:rFonts w:ascii="Calibri" w:hAnsi="Calibri"/>
          <w:color w:val="000000"/>
          <w:vertAlign w:val="subscript"/>
        </w:rPr>
        <w:t>t</w:t>
      </w:r>
      <w:r w:rsidR="009800B0">
        <w:rPr>
          <w:rFonts w:ascii="Calibri" w:hAnsi="Calibri"/>
          <w:color w:val="000000"/>
        </w:rPr>
        <w:t xml:space="preserve"> of </w:t>
      </w:r>
      <w:r w:rsidR="00674202">
        <w:rPr>
          <w:rFonts w:ascii="Calibri" w:hAnsi="Calibri"/>
          <w:color w:val="000000"/>
        </w:rPr>
        <w:t>stock</w:t>
      </w:r>
      <w:r w:rsidR="009800B0">
        <w:rPr>
          <w:rFonts w:ascii="Calibri" w:hAnsi="Calibri"/>
          <w:color w:val="000000"/>
        </w:rPr>
        <w:t xml:space="preserve"> </w:t>
      </w:r>
      <w:r w:rsidR="00DC0FD1">
        <w:rPr>
          <w:rFonts w:ascii="Calibri" w:hAnsi="Calibri"/>
          <w:color w:val="000000"/>
        </w:rPr>
        <w:t>indices</w:t>
      </w:r>
      <w:r w:rsidR="001D14F0">
        <w:rPr>
          <w:rFonts w:ascii="Calibri" w:hAnsi="Calibri"/>
          <w:color w:val="000000"/>
        </w:rPr>
        <w:t xml:space="preserve"> can be modeled as consisting of an intercept, α</w:t>
      </w:r>
      <w:r w:rsidR="00BD7A2B">
        <w:rPr>
          <w:rFonts w:ascii="Calibri" w:hAnsi="Calibri"/>
          <w:color w:val="000000"/>
        </w:rPr>
        <w:t xml:space="preserve">; </w:t>
      </w:r>
      <w:r w:rsidR="001D14F0">
        <w:rPr>
          <w:rFonts w:ascii="Calibri" w:hAnsi="Calibri"/>
          <w:color w:val="000000"/>
        </w:rPr>
        <w:t xml:space="preserve">a sector/country/overall GCC sector-specific autoregressive component of order one, </w:t>
      </w:r>
      <w:r w:rsidR="0067678F" w:rsidRPr="00264EE7">
        <w:rPr>
          <w:rFonts w:ascii="Calibri" w:hAnsi="Calibri"/>
          <w:i/>
          <w:color w:val="000000"/>
        </w:rPr>
        <w:t>AY</w:t>
      </w:r>
      <w:r w:rsidR="0067678F" w:rsidRPr="00264EE7">
        <w:rPr>
          <w:rFonts w:ascii="Calibri" w:hAnsi="Calibri"/>
          <w:i/>
          <w:color w:val="000000"/>
          <w:vertAlign w:val="subscript"/>
        </w:rPr>
        <w:t>t-1</w:t>
      </w:r>
      <w:r w:rsidR="00BD7A2B">
        <w:rPr>
          <w:rFonts w:ascii="Calibri" w:hAnsi="Calibri"/>
          <w:color w:val="000000"/>
        </w:rPr>
        <w:t xml:space="preserve">; </w:t>
      </w:r>
      <w:r w:rsidR="0067678F" w:rsidRPr="000E5B72">
        <w:rPr>
          <w:rFonts w:ascii="Calibri" w:hAnsi="Calibri"/>
          <w:i/>
          <w:color w:val="000000"/>
        </w:rPr>
        <w:t>k</w:t>
      </w:r>
      <w:r w:rsidR="0067678F">
        <w:rPr>
          <w:rFonts w:ascii="Calibri" w:hAnsi="Calibri"/>
          <w:color w:val="000000"/>
        </w:rPr>
        <w:t xml:space="preserve"> unobservable factors </w:t>
      </w:r>
      <w:r w:rsidR="0015411C" w:rsidRPr="00AE7E92">
        <w:rPr>
          <w:i/>
          <w:color w:val="000000"/>
        </w:rPr>
        <w:t>F</w:t>
      </w:r>
      <w:r w:rsidR="0067678F" w:rsidRPr="00AE7E92">
        <w:rPr>
          <w:i/>
          <w:color w:val="000000"/>
          <w:vertAlign w:val="subscript"/>
        </w:rPr>
        <w:t>t</w:t>
      </w:r>
      <w:r w:rsidR="0015411C" w:rsidRPr="00AE7E92">
        <w:rPr>
          <w:i/>
          <w:color w:val="000000"/>
        </w:rPr>
        <w:t>= [F</w:t>
      </w:r>
      <w:r w:rsidR="0015411C" w:rsidRPr="00AE7E92">
        <w:rPr>
          <w:i/>
          <w:color w:val="000000"/>
          <w:vertAlign w:val="subscript"/>
        </w:rPr>
        <w:t>1,t</w:t>
      </w:r>
      <w:r w:rsidR="0015411C" w:rsidRPr="00AE7E92">
        <w:rPr>
          <w:i/>
          <w:color w:val="000000"/>
        </w:rPr>
        <w:t>,… ,F</w:t>
      </w:r>
      <w:r w:rsidR="0015411C" w:rsidRPr="00AE7E92">
        <w:rPr>
          <w:i/>
          <w:color w:val="000000"/>
          <w:vertAlign w:val="subscript"/>
        </w:rPr>
        <w:t>k,t</w:t>
      </w:r>
      <w:r w:rsidR="0015411C" w:rsidRPr="00AE7E92">
        <w:rPr>
          <w:i/>
          <w:color w:val="000000"/>
        </w:rPr>
        <w:t>]</w:t>
      </w:r>
      <w:r w:rsidR="00B816DA">
        <w:rPr>
          <w:rFonts w:ascii="Calibri" w:hAnsi="Calibri"/>
          <w:color w:val="000000"/>
        </w:rPr>
        <w:t xml:space="preserve"> </w:t>
      </w:r>
      <w:r w:rsidR="00BD7A2B">
        <w:rPr>
          <w:rFonts w:ascii="Calibri" w:hAnsi="Calibri"/>
          <w:color w:val="000000"/>
        </w:rPr>
        <w:t xml:space="preserve">that are </w:t>
      </w:r>
      <w:r w:rsidR="00B816DA">
        <w:rPr>
          <w:rFonts w:ascii="Calibri" w:hAnsi="Calibri"/>
          <w:color w:val="000000"/>
        </w:rPr>
        <w:t>common to all series,</w:t>
      </w:r>
      <w:r w:rsidR="00B816DA" w:rsidRPr="00B816DA">
        <w:rPr>
          <w:rFonts w:ascii="Calibri" w:hAnsi="Calibri"/>
          <w:color w:val="000000"/>
        </w:rPr>
        <w:t xml:space="preserve"> </w:t>
      </w:r>
      <w:r w:rsidR="00B816DA">
        <w:rPr>
          <w:rFonts w:ascii="Calibri" w:hAnsi="Calibri"/>
          <w:color w:val="000000"/>
        </w:rPr>
        <w:t>which follow a first-order autoregressive process</w:t>
      </w:r>
      <w:r w:rsidR="00BD7A2B">
        <w:rPr>
          <w:rFonts w:ascii="Calibri" w:hAnsi="Calibri"/>
          <w:color w:val="000000"/>
        </w:rPr>
        <w:t>;</w:t>
      </w:r>
      <w:r w:rsidR="00B816DA">
        <w:rPr>
          <w:rFonts w:ascii="Calibri" w:hAnsi="Calibri"/>
          <w:color w:val="000000"/>
        </w:rPr>
        <w:t xml:space="preserve"> and a normally distributed disturbance term, </w:t>
      </w:r>
      <w:r w:rsidR="00E1141E" w:rsidRPr="00E1141E">
        <w:rPr>
          <w:rFonts w:ascii="Calibri" w:hAnsi="Calibri"/>
          <w:i/>
          <w:color w:val="000000"/>
        </w:rPr>
        <w:t>e</w:t>
      </w:r>
      <w:r w:rsidR="00B816DA">
        <w:rPr>
          <w:rFonts w:ascii="Calibri" w:hAnsi="Calibri"/>
          <w:color w:val="000000"/>
          <w:vertAlign w:val="subscript"/>
        </w:rPr>
        <w:t>t</w:t>
      </w:r>
      <w:r w:rsidR="00B816DA">
        <w:rPr>
          <w:rFonts w:ascii="Calibri" w:hAnsi="Calibri"/>
          <w:color w:val="000000"/>
        </w:rPr>
        <w:t xml:space="preserve">. </w:t>
      </w:r>
      <w:r w:rsidR="00524844">
        <w:rPr>
          <w:rFonts w:ascii="Calibri" w:hAnsi="Calibri"/>
          <w:color w:val="000000"/>
        </w:rPr>
        <w:t>Generally, the model estimated can be represented as follows:</w:t>
      </w:r>
    </w:p>
    <w:p w:rsidR="00524844" w:rsidRDefault="00524844" w:rsidP="00394A29">
      <w:pPr>
        <w:rPr>
          <w:rFonts w:ascii="Calibri" w:hAnsi="Calibri"/>
          <w:color w:val="000000"/>
        </w:rPr>
      </w:pPr>
    </w:p>
    <w:p w:rsidR="00524844" w:rsidRPr="00524844" w:rsidRDefault="00B93993" w:rsidP="00394A29">
      <w:pPr>
        <w:rPr>
          <w:rFonts w:ascii="Calibri" w:eastAsiaTheme="minorEastAsia" w:hAnsi="Calibri"/>
          <w:color w:val="000000"/>
        </w:rPr>
      </w:pPr>
      <m:oMath>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t</m:t>
            </m:r>
          </m:sub>
        </m:sSub>
        <m:r>
          <w:rPr>
            <w:rFonts w:ascii="Cambria Math" w:hAnsi="Cambria Math"/>
            <w:color w:val="000000"/>
          </w:rPr>
          <m:t>=α+A</m:t>
        </m:r>
        <m:sSub>
          <m:sSubPr>
            <m:ctrlPr>
              <w:rPr>
                <w:rFonts w:ascii="Cambria Math" w:hAnsi="Cambria Math"/>
                <w:i/>
                <w:color w:val="000000"/>
              </w:rPr>
            </m:ctrlPr>
          </m:sSubPr>
          <m:e>
            <m:r>
              <w:rPr>
                <w:rFonts w:ascii="Cambria Math" w:hAnsi="Cambria Math"/>
                <w:color w:val="000000"/>
              </w:rPr>
              <m:t>Y</m:t>
            </m:r>
          </m:e>
          <m:sub>
            <m:r>
              <w:rPr>
                <w:rFonts w:ascii="Cambria Math" w:hAnsi="Cambria Math"/>
                <w:color w:val="000000"/>
              </w:rPr>
              <m:t>t-1</m:t>
            </m:r>
          </m:sub>
        </m:sSub>
        <m:r>
          <w:rPr>
            <w:rFonts w:ascii="Cambria Math" w:hAnsi="Cambria Math"/>
            <w:color w:val="000000"/>
          </w:rPr>
          <m:t>+B</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t</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t</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t</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DF</m:t>
            </m:r>
          </m:e>
          <m:sub>
            <m:r>
              <w:rPr>
                <w:rFonts w:ascii="Cambria Math" w:hAnsi="Cambria Math"/>
                <w:color w:val="000000"/>
              </w:rPr>
              <m:t>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 xml:space="preserve">t      </m:t>
            </m:r>
          </m:sub>
        </m:sSub>
      </m:oMath>
      <w:r w:rsidR="00BD7A2B">
        <w:rPr>
          <w:rFonts w:ascii="Calibri" w:eastAsiaTheme="minorEastAsia" w:hAnsi="Calibri"/>
          <w:color w:val="000000"/>
        </w:rPr>
        <w:t>,</w:t>
      </w:r>
      <w:r w:rsidR="00552CD7">
        <w:rPr>
          <w:rFonts w:ascii="Calibri" w:eastAsiaTheme="minorEastAsia" w:hAnsi="Calibri"/>
          <w:color w:val="000000"/>
        </w:rPr>
        <w:t xml:space="preserve"> </w:t>
      </w:r>
      <w:r w:rsidR="00552CD7">
        <w:rPr>
          <w:rFonts w:ascii="Calibri" w:eastAsiaTheme="minorEastAsia" w:hAnsi="Calibri"/>
          <w:color w:val="000000"/>
        </w:rPr>
        <w:tab/>
      </w:r>
      <w:r w:rsidR="00552CD7">
        <w:rPr>
          <w:rFonts w:ascii="Calibri" w:eastAsiaTheme="minorEastAsia" w:hAnsi="Calibri"/>
          <w:color w:val="000000"/>
        </w:rPr>
        <w:tab/>
      </w:r>
      <w:r w:rsidR="00552CD7">
        <w:rPr>
          <w:rFonts w:ascii="Calibri" w:eastAsiaTheme="minorEastAsia" w:hAnsi="Calibri"/>
          <w:color w:val="000000"/>
        </w:rPr>
        <w:tab/>
      </w:r>
      <w:r w:rsidR="00552CD7">
        <w:rPr>
          <w:rFonts w:ascii="Calibri" w:eastAsiaTheme="minorEastAsia" w:hAnsi="Calibri"/>
          <w:color w:val="000000"/>
        </w:rPr>
        <w:tab/>
      </w:r>
      <w:r w:rsidR="00552CD7">
        <w:rPr>
          <w:rFonts w:ascii="Calibri" w:eastAsiaTheme="minorEastAsia" w:hAnsi="Calibri"/>
          <w:color w:val="000000"/>
        </w:rPr>
        <w:tab/>
        <w:t>(7)</w:t>
      </w:r>
    </w:p>
    <w:p w:rsidR="00524844" w:rsidRPr="00524844" w:rsidRDefault="00BD7A2B" w:rsidP="00394A29">
      <w:pPr>
        <w:rPr>
          <w:rFonts w:ascii="Calibri" w:eastAsiaTheme="minorEastAsia" w:hAnsi="Calibri"/>
          <w:color w:val="000000"/>
        </w:rPr>
      </w:pPr>
      <w:r>
        <w:rPr>
          <w:rFonts w:ascii="Calibri" w:hAnsi="Calibri"/>
          <w:color w:val="000000"/>
        </w:rPr>
        <w:t xml:space="preserve">where </w:t>
      </w:r>
      <w:r w:rsidR="00A803E7" w:rsidRPr="006C5376">
        <w:rPr>
          <w:rFonts w:ascii="Calibri" w:hAnsi="Calibri"/>
          <w:i/>
          <w:color w:val="000000"/>
        </w:rPr>
        <w:t>B</w:t>
      </w:r>
      <w:r w:rsidR="00A803E7">
        <w:rPr>
          <w:rFonts w:ascii="Calibri" w:hAnsi="Calibri"/>
          <w:color w:val="000000"/>
        </w:rPr>
        <w:t xml:space="preserve"> is an </w:t>
      </w:r>
      <w:r w:rsidR="00A803E7" w:rsidRPr="006C5376">
        <w:rPr>
          <w:rFonts w:ascii="Calibri" w:hAnsi="Calibri"/>
          <w:i/>
          <w:color w:val="000000"/>
        </w:rPr>
        <w:t xml:space="preserve">n </w:t>
      </w:r>
      <w:r>
        <w:rPr>
          <w:rFonts w:ascii="Calibri" w:hAnsi="Calibri"/>
          <w:color w:val="000000"/>
        </w:rPr>
        <w:t>×</w:t>
      </w:r>
      <w:r w:rsidR="00A803E7" w:rsidRPr="006C5376">
        <w:rPr>
          <w:rFonts w:ascii="Calibri" w:hAnsi="Calibri"/>
          <w:i/>
          <w:color w:val="000000"/>
        </w:rPr>
        <w:t xml:space="preserve"> k</w:t>
      </w:r>
      <w:r w:rsidR="00A803E7">
        <w:rPr>
          <w:rFonts w:ascii="Calibri" w:hAnsi="Calibri"/>
          <w:color w:val="000000"/>
        </w:rPr>
        <w:t xml:space="preserve"> </w:t>
      </w:r>
      <w:r w:rsidR="002C2B30">
        <w:rPr>
          <w:rFonts w:ascii="Calibri" w:hAnsi="Calibri"/>
          <w:color w:val="000000"/>
        </w:rPr>
        <w:t xml:space="preserve">sensitivity </w:t>
      </w:r>
      <w:r w:rsidR="00A803E7">
        <w:rPr>
          <w:rFonts w:ascii="Calibri" w:hAnsi="Calibri"/>
          <w:color w:val="000000"/>
        </w:rPr>
        <w:t>matri</w:t>
      </w:r>
      <w:r w:rsidR="002C2B30">
        <w:rPr>
          <w:rFonts w:ascii="Calibri" w:hAnsi="Calibri"/>
          <w:color w:val="000000"/>
        </w:rPr>
        <w:t xml:space="preserve">x that captures the contemporaneous effects of changes in the common factor on each series </w:t>
      </w:r>
      <w:r w:rsidR="002C2B30" w:rsidRPr="006C5376">
        <w:rPr>
          <w:rFonts w:ascii="Calibri" w:hAnsi="Calibri"/>
          <w:i/>
          <w:color w:val="000000"/>
        </w:rPr>
        <w:t>Y</w:t>
      </w:r>
      <w:r w:rsidR="002C2B30" w:rsidRPr="006C5376">
        <w:rPr>
          <w:rFonts w:ascii="Calibri" w:hAnsi="Calibri"/>
          <w:i/>
          <w:color w:val="000000"/>
          <w:vertAlign w:val="subscript"/>
        </w:rPr>
        <w:t>i</w:t>
      </w:r>
      <w:r>
        <w:rPr>
          <w:rFonts w:ascii="Calibri" w:hAnsi="Calibri"/>
          <w:color w:val="000000"/>
        </w:rPr>
        <w:t xml:space="preserve">; </w:t>
      </w:r>
      <w:r w:rsidR="00DD1E80" w:rsidRPr="006C5376">
        <w:rPr>
          <w:rFonts w:ascii="Calibri" w:hAnsi="Calibri"/>
          <w:i/>
          <w:color w:val="000000"/>
        </w:rPr>
        <w:t>v</w:t>
      </w:r>
      <w:r w:rsidR="00DD1E80" w:rsidRPr="006C5376">
        <w:rPr>
          <w:rFonts w:ascii="Calibri" w:hAnsi="Calibri"/>
          <w:i/>
          <w:color w:val="000000"/>
          <w:vertAlign w:val="subscript"/>
        </w:rPr>
        <w:t>t</w:t>
      </w:r>
      <w:r w:rsidR="00DD1E80">
        <w:rPr>
          <w:rFonts w:ascii="Calibri" w:hAnsi="Calibri"/>
          <w:color w:val="000000"/>
        </w:rPr>
        <w:t xml:space="preserve"> is also a white noise disturbance. </w:t>
      </w:r>
      <w:r w:rsidR="004854F8">
        <w:rPr>
          <w:rFonts w:ascii="Calibri" w:hAnsi="Calibri"/>
          <w:color w:val="000000"/>
        </w:rPr>
        <w:t xml:space="preserve"> The variance</w:t>
      </w:r>
      <w:r>
        <w:rPr>
          <w:rFonts w:ascii="Calibri" w:hAnsi="Calibri"/>
          <w:color w:val="000000"/>
        </w:rPr>
        <w:t>–</w:t>
      </w:r>
      <w:r w:rsidR="004854F8">
        <w:rPr>
          <w:rFonts w:ascii="Calibri" w:hAnsi="Calibri"/>
          <w:color w:val="000000"/>
        </w:rPr>
        <w:t xml:space="preserve">covariance matrix of </w:t>
      </w:r>
      <w:r w:rsidR="004854F8" w:rsidRPr="006C5376">
        <w:rPr>
          <w:rFonts w:ascii="Calibri" w:hAnsi="Calibri"/>
          <w:i/>
          <w:color w:val="000000"/>
        </w:rPr>
        <w:t>e</w:t>
      </w:r>
      <w:r w:rsidR="004854F8" w:rsidRPr="006C5376">
        <w:rPr>
          <w:rFonts w:ascii="Calibri" w:hAnsi="Calibri"/>
          <w:i/>
          <w:color w:val="000000"/>
          <w:vertAlign w:val="subscript"/>
        </w:rPr>
        <w:t>t</w:t>
      </w:r>
      <w:r w:rsidR="004854F8">
        <w:rPr>
          <w:rFonts w:ascii="Calibri" w:hAnsi="Calibri"/>
          <w:color w:val="000000"/>
        </w:rPr>
        <w:t xml:space="preserve"> is assumed to be diagonal</w:t>
      </w:r>
      <w:r>
        <w:rPr>
          <w:rFonts w:ascii="Calibri" w:hAnsi="Calibri"/>
          <w:color w:val="000000"/>
        </w:rPr>
        <w:t>,</w:t>
      </w:r>
      <w:r w:rsidR="004854F8">
        <w:rPr>
          <w:rFonts w:ascii="Calibri" w:hAnsi="Calibri"/>
          <w:color w:val="000000"/>
        </w:rPr>
        <w:t xml:space="preserve"> with </w:t>
      </w:r>
      <w:r w:rsidR="00F00CD8">
        <w:rPr>
          <w:rFonts w:ascii="Calibri" w:hAnsi="Calibri"/>
          <w:color w:val="000000"/>
        </w:rPr>
        <w:t>diagonal elements equal to σ</w:t>
      </w:r>
      <w:r w:rsidR="00F00CD8">
        <w:rPr>
          <w:rFonts w:ascii="Calibri" w:hAnsi="Calibri"/>
          <w:color w:val="000000"/>
          <w:vertAlign w:val="subscript"/>
        </w:rPr>
        <w:t>i</w:t>
      </w:r>
      <w:r w:rsidR="00F00CD8">
        <w:rPr>
          <w:rFonts w:ascii="Calibri" w:hAnsi="Calibri"/>
          <w:color w:val="000000"/>
          <w:vertAlign w:val="superscript"/>
        </w:rPr>
        <w:t>2</w:t>
      </w:r>
      <w:r w:rsidR="00F00CD8">
        <w:rPr>
          <w:rFonts w:ascii="Calibri" w:hAnsi="Calibri"/>
          <w:color w:val="000000"/>
        </w:rPr>
        <w:t>.</w:t>
      </w:r>
      <w:r w:rsidR="004854F8">
        <w:rPr>
          <w:rFonts w:ascii="Calibri" w:hAnsi="Calibri"/>
          <w:color w:val="000000"/>
        </w:rPr>
        <w:t xml:space="preserve"> </w:t>
      </w:r>
      <w:r w:rsidR="00A803E7">
        <w:rPr>
          <w:rFonts w:ascii="Calibri" w:hAnsi="Calibri"/>
          <w:color w:val="000000"/>
        </w:rPr>
        <w:t xml:space="preserve">We </w:t>
      </w:r>
      <w:r w:rsidR="00DD1E80">
        <w:rPr>
          <w:rFonts w:ascii="Calibri" w:hAnsi="Calibri"/>
          <w:color w:val="000000"/>
        </w:rPr>
        <w:t>estimate</w:t>
      </w:r>
      <w:r w:rsidR="00A803E7">
        <w:rPr>
          <w:rFonts w:ascii="Calibri" w:hAnsi="Calibri"/>
          <w:color w:val="000000"/>
        </w:rPr>
        <w:t xml:space="preserve"> the basic DF model proposed by Stock and Watson</w:t>
      </w:r>
      <w:r w:rsidR="00DD1E80">
        <w:rPr>
          <w:rFonts w:ascii="Calibri" w:hAnsi="Calibri"/>
          <w:color w:val="000000"/>
        </w:rPr>
        <w:t xml:space="preserve"> by setting</w:t>
      </w:r>
      <w:r w:rsidR="001C57C9">
        <w:rPr>
          <w:rFonts w:ascii="Calibri" w:hAnsi="Calibri"/>
          <w:color w:val="000000"/>
        </w:rPr>
        <w:t xml:space="preserve"> the following</w:t>
      </w:r>
      <w:r w:rsidR="00042A16">
        <w:rPr>
          <w:rFonts w:ascii="Calibri" w:hAnsi="Calibri"/>
          <w:color w:val="000000"/>
        </w:rPr>
        <w:t>: Model 1:</w:t>
      </w:r>
      <w:r w:rsidR="00DD1E80">
        <w:rPr>
          <w:rFonts w:ascii="Calibri" w:hAnsi="Calibri"/>
          <w:color w:val="000000"/>
        </w:rPr>
        <w:t xml:space="preserve"> </w:t>
      </w:r>
      <w:r w:rsidR="00DD1E80" w:rsidRPr="006C5376">
        <w:rPr>
          <w:rFonts w:ascii="Calibri" w:hAnsi="Calibri"/>
          <w:i/>
          <w:color w:val="000000"/>
        </w:rPr>
        <w:t>α</w:t>
      </w:r>
      <w:r w:rsidR="004854F8" w:rsidRPr="006C5376">
        <w:rPr>
          <w:rFonts w:ascii="Calibri" w:hAnsi="Calibri"/>
          <w:i/>
          <w:color w:val="000000"/>
        </w:rPr>
        <w:t xml:space="preserve"> = 0 </w:t>
      </w:r>
      <w:r w:rsidR="004854F8">
        <w:rPr>
          <w:rFonts w:ascii="Calibri" w:hAnsi="Calibri"/>
          <w:color w:val="000000"/>
        </w:rPr>
        <w:t>and</w:t>
      </w:r>
      <w:r w:rsidR="00DD1E80">
        <w:rPr>
          <w:rFonts w:ascii="Calibri" w:hAnsi="Calibri"/>
          <w:color w:val="000000"/>
        </w:rPr>
        <w:t xml:space="preserve"> </w:t>
      </w:r>
      <w:r w:rsidR="00DD1E80" w:rsidRPr="006C5376">
        <w:rPr>
          <w:rFonts w:ascii="Calibri" w:hAnsi="Calibri"/>
          <w:i/>
          <w:color w:val="000000"/>
        </w:rPr>
        <w:t>A = 0</w:t>
      </w:r>
      <w:r w:rsidR="00042A16">
        <w:rPr>
          <w:rFonts w:ascii="Calibri" w:hAnsi="Calibri"/>
          <w:color w:val="000000"/>
        </w:rPr>
        <w:t xml:space="preserve">; Model 2: </w:t>
      </w:r>
      <w:r w:rsidR="004854F8">
        <w:rPr>
          <w:rFonts w:ascii="Calibri" w:hAnsi="Calibri"/>
          <w:color w:val="000000"/>
        </w:rPr>
        <w:t xml:space="preserve"> </w:t>
      </w:r>
      <w:r w:rsidR="004854F8" w:rsidRPr="006C5376">
        <w:rPr>
          <w:rFonts w:ascii="Calibri" w:hAnsi="Calibri"/>
          <w:i/>
          <w:color w:val="000000"/>
        </w:rPr>
        <w:t>A = 0</w:t>
      </w:r>
      <w:r w:rsidR="00B62757">
        <w:rPr>
          <w:rFonts w:ascii="Calibri" w:hAnsi="Calibri"/>
          <w:i/>
          <w:color w:val="000000"/>
        </w:rPr>
        <w:t xml:space="preserve"> and </w:t>
      </w:r>
      <w:bookmarkStart w:id="0" w:name="OLE_LINK1"/>
      <w:bookmarkStart w:id="1" w:name="OLE_LINK2"/>
      <w:r w:rsidR="00B62757">
        <w:rPr>
          <w:rFonts w:ascii="Calibri" w:hAnsi="Calibri"/>
          <w:i/>
          <w:color w:val="000000"/>
        </w:rPr>
        <w:t>e</w:t>
      </w:r>
      <w:r w:rsidR="00B62757" w:rsidRPr="00B62757">
        <w:rPr>
          <w:rFonts w:ascii="Calibri" w:hAnsi="Calibri"/>
          <w:i/>
          <w:color w:val="000000"/>
          <w:vertAlign w:val="subscript"/>
        </w:rPr>
        <w:t>t</w:t>
      </w:r>
      <w:r w:rsidR="00B62757">
        <w:rPr>
          <w:rFonts w:ascii="Calibri" w:hAnsi="Calibri"/>
          <w:i/>
          <w:color w:val="000000"/>
        </w:rPr>
        <w:t xml:space="preserve"> = δe</w:t>
      </w:r>
      <w:r w:rsidR="00B62757" w:rsidRPr="00B62757">
        <w:rPr>
          <w:rFonts w:ascii="Calibri" w:hAnsi="Calibri"/>
          <w:i/>
          <w:color w:val="000000"/>
          <w:vertAlign w:val="subscript"/>
        </w:rPr>
        <w:t>t-1</w:t>
      </w:r>
      <w:r w:rsidR="00B62757">
        <w:rPr>
          <w:rFonts w:ascii="Calibri" w:hAnsi="Calibri"/>
          <w:i/>
          <w:color w:val="000000"/>
        </w:rPr>
        <w:t xml:space="preserve"> + u</w:t>
      </w:r>
      <w:r w:rsidR="00B62757" w:rsidRPr="00B62757">
        <w:rPr>
          <w:rFonts w:ascii="Calibri" w:hAnsi="Calibri"/>
          <w:i/>
          <w:color w:val="000000"/>
          <w:vertAlign w:val="subscript"/>
        </w:rPr>
        <w:t>t</w:t>
      </w:r>
      <w:bookmarkEnd w:id="0"/>
      <w:bookmarkEnd w:id="1"/>
      <w:r w:rsidR="004854F8">
        <w:rPr>
          <w:rFonts w:ascii="Calibri" w:hAnsi="Calibri"/>
          <w:color w:val="000000"/>
        </w:rPr>
        <w:t xml:space="preserve">; Model 3: </w:t>
      </w:r>
      <w:r w:rsidR="004854F8" w:rsidRPr="006C5376">
        <w:rPr>
          <w:rFonts w:ascii="Calibri" w:hAnsi="Calibri"/>
          <w:i/>
          <w:color w:val="000000"/>
        </w:rPr>
        <w:t>α = 0</w:t>
      </w:r>
      <w:r w:rsidR="004854F8">
        <w:rPr>
          <w:rFonts w:ascii="Calibri" w:hAnsi="Calibri"/>
          <w:color w:val="000000"/>
        </w:rPr>
        <w:t>; Model 4</w:t>
      </w:r>
      <w:r w:rsidR="001C57C9">
        <w:rPr>
          <w:rFonts w:ascii="Calibri" w:hAnsi="Calibri"/>
          <w:color w:val="000000"/>
        </w:rPr>
        <w:t>’s</w:t>
      </w:r>
      <w:r w:rsidR="004854F8">
        <w:rPr>
          <w:rFonts w:ascii="Calibri" w:hAnsi="Calibri"/>
          <w:color w:val="000000"/>
        </w:rPr>
        <w:t xml:space="preserve"> specification is in fact Eq. (7)</w:t>
      </w:r>
      <w:r w:rsidR="00692B30">
        <w:rPr>
          <w:rFonts w:ascii="Calibri" w:hAnsi="Calibri"/>
          <w:color w:val="000000"/>
        </w:rPr>
        <w:t xml:space="preserve"> with the autocorrelated error term</w:t>
      </w:r>
      <w:r w:rsidR="00F00CD8">
        <w:rPr>
          <w:rFonts w:ascii="Calibri" w:hAnsi="Calibri"/>
          <w:color w:val="000000"/>
        </w:rPr>
        <w:t>.</w:t>
      </w:r>
      <w:r w:rsidR="00F00CD8" w:rsidRPr="00524844">
        <w:rPr>
          <w:rFonts w:ascii="Calibri" w:eastAsiaTheme="minorEastAsia" w:hAnsi="Calibri"/>
          <w:color w:val="000000"/>
        </w:rPr>
        <w:t xml:space="preserve"> </w:t>
      </w:r>
    </w:p>
    <w:p w:rsidR="00655B2A" w:rsidRDefault="000E5B72" w:rsidP="00394A29">
      <w:pPr>
        <w:rPr>
          <w:rFonts w:ascii="Calibri" w:hAnsi="Calibri"/>
          <w:color w:val="000000"/>
        </w:rPr>
      </w:pPr>
      <w:r>
        <w:rPr>
          <w:rFonts w:ascii="Calibri" w:hAnsi="Calibri"/>
          <w:color w:val="000000"/>
        </w:rPr>
        <w:t xml:space="preserve">Once a set of common factors </w:t>
      </w:r>
      <w:r w:rsidR="001C57C9">
        <w:rPr>
          <w:rFonts w:ascii="Calibri" w:hAnsi="Calibri"/>
          <w:color w:val="000000"/>
        </w:rPr>
        <w:t xml:space="preserve">has been </w:t>
      </w:r>
      <w:r>
        <w:rPr>
          <w:rFonts w:ascii="Calibri" w:hAnsi="Calibri"/>
          <w:color w:val="000000"/>
        </w:rPr>
        <w:t>obtained for each country</w:t>
      </w:r>
      <w:r w:rsidR="00655B2A">
        <w:rPr>
          <w:rFonts w:ascii="Calibri" w:hAnsi="Calibri"/>
          <w:color w:val="000000"/>
        </w:rPr>
        <w:t xml:space="preserve"> and for the GCC as a bloc</w:t>
      </w:r>
      <w:r>
        <w:rPr>
          <w:rFonts w:ascii="Calibri" w:hAnsi="Calibri"/>
          <w:color w:val="000000"/>
        </w:rPr>
        <w:t>,</w:t>
      </w:r>
      <w:r w:rsidR="00655B2A">
        <w:rPr>
          <w:rFonts w:ascii="Calibri" w:hAnsi="Calibri"/>
          <w:color w:val="000000"/>
        </w:rPr>
        <w:t xml:space="preserve"> we then ask whether oil price returns and volatilities (not their cyclical components) have any explanatory power. To this end, we estimate the following equation generally:</w:t>
      </w:r>
    </w:p>
    <w:p w:rsidR="00655B2A" w:rsidRDefault="00B93993" w:rsidP="00394A29">
      <w:pPr>
        <w:rPr>
          <w:rFonts w:ascii="Calibri" w:eastAsiaTheme="minorEastAsia" w:hAnsi="Calibri"/>
          <w:color w:val="000000"/>
        </w:rPr>
      </w:pP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t</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γ</m:t>
            </m:r>
          </m:e>
          <m:sub>
            <m:r>
              <w:rPr>
                <w:rFonts w:ascii="Cambria Math" w:hAnsi="Cambria Math"/>
                <w:color w:val="000000"/>
              </w:rPr>
              <m:t>0</m:t>
            </m:r>
          </m:sub>
        </m:sSub>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j=1</m:t>
            </m:r>
          </m:sub>
          <m:sup>
            <m:r>
              <w:rPr>
                <w:rFonts w:ascii="Cambria Math" w:hAnsi="Cambria Math"/>
                <w:color w:val="000000"/>
              </w:rPr>
              <m:t>n</m:t>
            </m:r>
          </m:sup>
          <m:e>
            <m:sSub>
              <m:sSubPr>
                <m:ctrlPr>
                  <w:rPr>
                    <w:rFonts w:ascii="Cambria Math" w:hAnsi="Cambria Math"/>
                    <w:i/>
                    <w:color w:val="000000"/>
                  </w:rPr>
                </m:ctrlPr>
              </m:sSubPr>
              <m:e>
                <m:r>
                  <w:rPr>
                    <w:rFonts w:ascii="Cambria Math" w:hAnsi="Cambria Math"/>
                    <w:color w:val="000000"/>
                  </w:rPr>
                  <m:t>γ</m:t>
                </m:r>
              </m:e>
              <m:sub>
                <m:r>
                  <w:rPr>
                    <w:rFonts w:ascii="Cambria Math" w:hAnsi="Cambria Math"/>
                    <w:color w:val="000000"/>
                  </w:rPr>
                  <m:t>j</m:t>
                </m:r>
              </m:sub>
            </m:sSub>
          </m:e>
        </m:nary>
        <m:sSub>
          <m:sSubPr>
            <m:ctrlPr>
              <w:rPr>
                <w:rFonts w:ascii="Cambria Math" w:hAnsi="Cambria Math"/>
                <w:i/>
                <w:color w:val="000000"/>
              </w:rPr>
            </m:ctrlPr>
          </m:sSubPr>
          <m:e>
            <m:r>
              <w:rPr>
                <w:rFonts w:ascii="Cambria Math" w:hAnsi="Cambria Math"/>
                <w:color w:val="000000"/>
              </w:rPr>
              <m:t>O</m:t>
            </m:r>
          </m:e>
          <m:sub>
            <m:r>
              <w:rPr>
                <w:rFonts w:ascii="Cambria Math" w:hAnsi="Cambria Math"/>
                <w:color w:val="000000"/>
              </w:rPr>
              <m:t>t+1-j</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t</m:t>
            </m:r>
          </m:sub>
        </m:sSub>
      </m:oMath>
      <w:r w:rsidR="00CA5E9C">
        <w:rPr>
          <w:rFonts w:ascii="Calibri" w:eastAsiaTheme="minorEastAsia" w:hAnsi="Calibri"/>
          <w:color w:val="000000"/>
        </w:rPr>
        <w:t xml:space="preserve">  </w:t>
      </w:r>
      <w:r w:rsidR="00CA5E9C">
        <w:rPr>
          <w:rFonts w:ascii="Calibri" w:eastAsiaTheme="minorEastAsia" w:hAnsi="Calibri"/>
          <w:color w:val="000000"/>
        </w:rPr>
        <w:tab/>
      </w:r>
      <w:r w:rsidR="00CA5E9C">
        <w:rPr>
          <w:rFonts w:ascii="Calibri" w:eastAsiaTheme="minorEastAsia" w:hAnsi="Calibri"/>
          <w:color w:val="000000"/>
        </w:rPr>
        <w:tab/>
      </w:r>
      <w:r w:rsidR="00CA5E9C">
        <w:rPr>
          <w:rFonts w:ascii="Calibri" w:eastAsiaTheme="minorEastAsia" w:hAnsi="Calibri"/>
          <w:color w:val="000000"/>
        </w:rPr>
        <w:tab/>
      </w:r>
      <w:r w:rsidR="00CA5E9C">
        <w:rPr>
          <w:rFonts w:ascii="Calibri" w:eastAsiaTheme="minorEastAsia" w:hAnsi="Calibri"/>
          <w:color w:val="000000"/>
        </w:rPr>
        <w:tab/>
      </w:r>
      <w:r w:rsidR="00CA5E9C">
        <w:rPr>
          <w:rFonts w:ascii="Calibri" w:eastAsiaTheme="minorEastAsia" w:hAnsi="Calibri"/>
          <w:color w:val="000000"/>
        </w:rPr>
        <w:tab/>
      </w:r>
      <w:r w:rsidR="00CA5E9C">
        <w:rPr>
          <w:rFonts w:ascii="Calibri" w:eastAsiaTheme="minorEastAsia" w:hAnsi="Calibri"/>
          <w:color w:val="000000"/>
        </w:rPr>
        <w:tab/>
      </w:r>
      <w:r w:rsidR="00CA5E9C">
        <w:rPr>
          <w:rFonts w:ascii="Calibri" w:eastAsiaTheme="minorEastAsia" w:hAnsi="Calibri"/>
          <w:color w:val="000000"/>
        </w:rPr>
        <w:tab/>
      </w:r>
      <w:r w:rsidR="00CA5E9C">
        <w:rPr>
          <w:rFonts w:ascii="Calibri" w:eastAsiaTheme="minorEastAsia" w:hAnsi="Calibri"/>
          <w:color w:val="000000"/>
        </w:rPr>
        <w:tab/>
        <w:t>(8)</w:t>
      </w:r>
    </w:p>
    <w:p w:rsidR="00B727FC" w:rsidRDefault="00B727FC" w:rsidP="00394A29">
      <w:pPr>
        <w:rPr>
          <w:rFonts w:ascii="Calibri" w:eastAsiaTheme="minorEastAsia" w:hAnsi="Calibri"/>
          <w:color w:val="000000"/>
        </w:rPr>
      </w:pPr>
      <w:r>
        <w:rPr>
          <w:rFonts w:ascii="Calibri" w:eastAsiaTheme="minorEastAsia" w:hAnsi="Calibri"/>
          <w:color w:val="000000"/>
        </w:rPr>
        <w:t xml:space="preserve">The sign and significance of the slope coefficients indicate </w:t>
      </w:r>
      <w:r w:rsidR="00604C2B">
        <w:rPr>
          <w:rFonts w:ascii="Calibri" w:eastAsiaTheme="minorEastAsia" w:hAnsi="Calibri"/>
          <w:color w:val="000000"/>
        </w:rPr>
        <w:t>to what extent</w:t>
      </w:r>
      <w:r w:rsidR="001C57C9">
        <w:rPr>
          <w:rFonts w:ascii="Calibri" w:eastAsiaTheme="minorEastAsia" w:hAnsi="Calibri"/>
          <w:color w:val="000000"/>
        </w:rPr>
        <w:t xml:space="preserve"> the</w:t>
      </w:r>
      <w:r w:rsidR="000962B4">
        <w:rPr>
          <w:rFonts w:ascii="Calibri" w:eastAsiaTheme="minorEastAsia" w:hAnsi="Calibri"/>
          <w:color w:val="000000"/>
        </w:rPr>
        <w:t xml:space="preserve"> </w:t>
      </w:r>
      <w:r>
        <w:rPr>
          <w:rFonts w:ascii="Calibri" w:eastAsiaTheme="minorEastAsia" w:hAnsi="Calibri"/>
          <w:color w:val="000000"/>
        </w:rPr>
        <w:t xml:space="preserve">return or volatility of </w:t>
      </w:r>
      <w:r w:rsidR="000962B4">
        <w:rPr>
          <w:rFonts w:ascii="Calibri" w:eastAsiaTheme="minorEastAsia" w:hAnsi="Calibri"/>
          <w:color w:val="000000"/>
        </w:rPr>
        <w:t>oil prices</w:t>
      </w:r>
      <w:r w:rsidR="00604C2B">
        <w:rPr>
          <w:rFonts w:ascii="Calibri" w:eastAsiaTheme="minorEastAsia" w:hAnsi="Calibri"/>
          <w:color w:val="000000"/>
        </w:rPr>
        <w:t xml:space="preserve"> can explain the dynamics of the common factor underlying the GCC </w:t>
      </w:r>
      <w:r w:rsidR="00674202">
        <w:rPr>
          <w:rFonts w:ascii="Calibri" w:eastAsiaTheme="minorEastAsia" w:hAnsi="Calibri"/>
          <w:color w:val="000000"/>
        </w:rPr>
        <w:t>stock</w:t>
      </w:r>
      <w:r w:rsidR="00604C2B">
        <w:rPr>
          <w:rFonts w:ascii="Calibri" w:eastAsiaTheme="minorEastAsia" w:hAnsi="Calibri"/>
          <w:color w:val="000000"/>
        </w:rPr>
        <w:t xml:space="preserve"> markets. </w:t>
      </w:r>
      <w:r w:rsidR="0026411B">
        <w:rPr>
          <w:rFonts w:ascii="Calibri" w:eastAsiaTheme="minorEastAsia" w:hAnsi="Calibri"/>
          <w:color w:val="000000"/>
        </w:rPr>
        <w:t xml:space="preserve">Thus far, our focus has been on the common factor that underlies </w:t>
      </w:r>
      <w:r w:rsidR="001C57C9">
        <w:rPr>
          <w:rFonts w:ascii="Calibri" w:eastAsiaTheme="minorEastAsia" w:hAnsi="Calibri"/>
          <w:color w:val="000000"/>
        </w:rPr>
        <w:t xml:space="preserve">the </w:t>
      </w:r>
      <w:r w:rsidR="0026411B">
        <w:rPr>
          <w:rFonts w:ascii="Calibri" w:eastAsiaTheme="minorEastAsia" w:hAnsi="Calibri"/>
          <w:color w:val="000000"/>
        </w:rPr>
        <w:t xml:space="preserve">sectoral </w:t>
      </w:r>
      <w:r w:rsidR="00674202">
        <w:rPr>
          <w:rFonts w:ascii="Calibri" w:eastAsiaTheme="minorEastAsia" w:hAnsi="Calibri"/>
          <w:color w:val="000000"/>
        </w:rPr>
        <w:t>stock</w:t>
      </w:r>
      <w:r w:rsidR="0026411B">
        <w:rPr>
          <w:rFonts w:ascii="Calibri" w:eastAsiaTheme="minorEastAsia" w:hAnsi="Calibri"/>
          <w:color w:val="000000"/>
        </w:rPr>
        <w:t xml:space="preserve"> markets in each country, the GCC sectors as a group and the country-level </w:t>
      </w:r>
      <w:r w:rsidR="00DC0FD1">
        <w:rPr>
          <w:rFonts w:ascii="Calibri" w:eastAsiaTheme="minorEastAsia" w:hAnsi="Calibri"/>
          <w:color w:val="000000"/>
        </w:rPr>
        <w:t>indices</w:t>
      </w:r>
      <w:r w:rsidR="0026411B">
        <w:rPr>
          <w:rFonts w:ascii="Calibri" w:eastAsiaTheme="minorEastAsia" w:hAnsi="Calibri"/>
          <w:color w:val="000000"/>
        </w:rPr>
        <w:t xml:space="preserve">. Although the overall GCC </w:t>
      </w:r>
      <w:r w:rsidR="00674202">
        <w:rPr>
          <w:rFonts w:ascii="Calibri" w:eastAsiaTheme="minorEastAsia" w:hAnsi="Calibri"/>
          <w:color w:val="000000"/>
        </w:rPr>
        <w:t>stock</w:t>
      </w:r>
      <w:r w:rsidR="0026411B">
        <w:rPr>
          <w:rFonts w:ascii="Calibri" w:eastAsiaTheme="minorEastAsia" w:hAnsi="Calibri"/>
          <w:color w:val="000000"/>
        </w:rPr>
        <w:t xml:space="preserve"> sectors are weighted averages of the individual countries</w:t>
      </w:r>
      <w:r w:rsidR="001C57C9">
        <w:rPr>
          <w:rFonts w:ascii="Calibri" w:eastAsiaTheme="minorEastAsia" w:hAnsi="Calibri"/>
          <w:color w:val="000000"/>
        </w:rPr>
        <w:t>’</w:t>
      </w:r>
      <w:r w:rsidR="0026411B">
        <w:rPr>
          <w:rFonts w:ascii="Calibri" w:eastAsiaTheme="minorEastAsia" w:hAnsi="Calibri"/>
          <w:color w:val="000000"/>
        </w:rPr>
        <w:t xml:space="preserve"> </w:t>
      </w:r>
      <w:r w:rsidR="00674202">
        <w:rPr>
          <w:rFonts w:ascii="Calibri" w:eastAsiaTheme="minorEastAsia" w:hAnsi="Calibri"/>
          <w:color w:val="000000"/>
        </w:rPr>
        <w:t>stock</w:t>
      </w:r>
      <w:r w:rsidR="0026411B">
        <w:rPr>
          <w:rFonts w:ascii="Calibri" w:eastAsiaTheme="minorEastAsia" w:hAnsi="Calibri"/>
          <w:color w:val="000000"/>
        </w:rPr>
        <w:t xml:space="preserve"> sectors</w:t>
      </w:r>
      <w:r w:rsidR="004123B7">
        <w:rPr>
          <w:rFonts w:ascii="Calibri" w:eastAsiaTheme="minorEastAsia" w:hAnsi="Calibri"/>
          <w:color w:val="000000"/>
        </w:rPr>
        <w:t>, it is, in</w:t>
      </w:r>
      <w:r w:rsidR="0026411B">
        <w:rPr>
          <w:rFonts w:ascii="Calibri" w:eastAsiaTheme="minorEastAsia" w:hAnsi="Calibri"/>
          <w:color w:val="000000"/>
        </w:rPr>
        <w:t xml:space="preserve"> our view, not convincing enough </w:t>
      </w:r>
      <w:r w:rsidR="00EA1607">
        <w:rPr>
          <w:rFonts w:ascii="Calibri" w:eastAsiaTheme="minorEastAsia" w:hAnsi="Calibri"/>
          <w:color w:val="000000"/>
        </w:rPr>
        <w:t>to argue that the same holds for</w:t>
      </w:r>
      <w:r w:rsidR="004123B7">
        <w:rPr>
          <w:rFonts w:ascii="Calibri" w:eastAsiaTheme="minorEastAsia" w:hAnsi="Calibri"/>
          <w:color w:val="000000"/>
        </w:rPr>
        <w:t xml:space="preserve"> the common factors. To that effect, we expand the analysis by investigating whether the industry-level common factors across GCC countries</w:t>
      </w:r>
      <w:r w:rsidR="001E467D">
        <w:rPr>
          <w:rFonts w:ascii="Calibri" w:eastAsiaTheme="minorEastAsia" w:hAnsi="Calibri"/>
          <w:color w:val="000000"/>
        </w:rPr>
        <w:t xml:space="preserve"> share a common component</w:t>
      </w:r>
      <w:r w:rsidR="00910C7C">
        <w:rPr>
          <w:rFonts w:ascii="Calibri" w:eastAsiaTheme="minorEastAsia" w:hAnsi="Calibri"/>
          <w:color w:val="000000"/>
        </w:rPr>
        <w:t xml:space="preserve"> </w:t>
      </w:r>
      <w:r w:rsidR="001C57C9">
        <w:rPr>
          <w:rFonts w:ascii="Calibri" w:eastAsiaTheme="minorEastAsia" w:hAnsi="Calibri"/>
          <w:color w:val="000000"/>
        </w:rPr>
        <w:t xml:space="preserve">that </w:t>
      </w:r>
      <w:r w:rsidR="00910C7C">
        <w:rPr>
          <w:rFonts w:ascii="Calibri" w:eastAsiaTheme="minorEastAsia" w:hAnsi="Calibri"/>
          <w:color w:val="000000"/>
        </w:rPr>
        <w:t>is also associated with oil price returns and volatility</w:t>
      </w:r>
      <w:r w:rsidR="001E467D">
        <w:rPr>
          <w:rFonts w:ascii="Calibri" w:eastAsiaTheme="minorEastAsia" w:hAnsi="Calibri"/>
          <w:color w:val="000000"/>
        </w:rPr>
        <w:t xml:space="preserve">. This layer of </w:t>
      </w:r>
      <w:r w:rsidR="00165043">
        <w:rPr>
          <w:rFonts w:ascii="Calibri" w:eastAsiaTheme="minorEastAsia" w:hAnsi="Calibri"/>
          <w:color w:val="000000"/>
        </w:rPr>
        <w:t>the analysis</w:t>
      </w:r>
      <w:r w:rsidR="001E467D">
        <w:rPr>
          <w:rFonts w:ascii="Calibri" w:eastAsiaTheme="minorEastAsia" w:hAnsi="Calibri"/>
          <w:color w:val="000000"/>
        </w:rPr>
        <w:t xml:space="preserve"> is motivated by the uneven number of sectors</w:t>
      </w:r>
      <w:r w:rsidR="00165043">
        <w:rPr>
          <w:rFonts w:ascii="Calibri" w:eastAsiaTheme="minorEastAsia" w:hAnsi="Calibri"/>
          <w:color w:val="000000"/>
        </w:rPr>
        <w:t xml:space="preserve"> across countries</w:t>
      </w:r>
      <w:r w:rsidR="001E467D">
        <w:rPr>
          <w:rFonts w:ascii="Calibri" w:eastAsiaTheme="minorEastAsia" w:hAnsi="Calibri"/>
          <w:color w:val="000000"/>
        </w:rPr>
        <w:t xml:space="preserve"> that we </w:t>
      </w:r>
      <w:r w:rsidR="001C57C9">
        <w:rPr>
          <w:rFonts w:ascii="Calibri" w:eastAsiaTheme="minorEastAsia" w:hAnsi="Calibri"/>
          <w:color w:val="000000"/>
        </w:rPr>
        <w:t xml:space="preserve">can obtain </w:t>
      </w:r>
      <w:r w:rsidR="00165043">
        <w:rPr>
          <w:rFonts w:ascii="Calibri" w:eastAsiaTheme="minorEastAsia" w:hAnsi="Calibri"/>
          <w:color w:val="000000"/>
        </w:rPr>
        <w:t>f</w:t>
      </w:r>
      <w:r w:rsidR="005D1C77">
        <w:rPr>
          <w:rFonts w:ascii="Calibri" w:eastAsiaTheme="minorEastAsia" w:hAnsi="Calibri"/>
          <w:color w:val="000000"/>
        </w:rPr>
        <w:t>rom the Thomson Database</w:t>
      </w:r>
      <w:r w:rsidR="001C57C9">
        <w:rPr>
          <w:rFonts w:ascii="Calibri" w:eastAsiaTheme="minorEastAsia" w:hAnsi="Calibri"/>
          <w:color w:val="000000"/>
        </w:rPr>
        <w:t>,</w:t>
      </w:r>
      <w:r w:rsidR="005D1C77">
        <w:rPr>
          <w:rFonts w:ascii="Calibri" w:eastAsiaTheme="minorEastAsia" w:hAnsi="Calibri"/>
          <w:color w:val="000000"/>
        </w:rPr>
        <w:t xml:space="preserve"> and it also</w:t>
      </w:r>
      <w:r w:rsidR="00165043">
        <w:rPr>
          <w:rFonts w:ascii="Calibri" w:eastAsiaTheme="minorEastAsia" w:hAnsi="Calibri"/>
          <w:color w:val="000000"/>
        </w:rPr>
        <w:t xml:space="preserve"> </w:t>
      </w:r>
      <w:r w:rsidR="00EA1607">
        <w:rPr>
          <w:rFonts w:ascii="Calibri" w:eastAsiaTheme="minorEastAsia" w:hAnsi="Calibri"/>
          <w:color w:val="000000"/>
        </w:rPr>
        <w:t xml:space="preserve">allows us to </w:t>
      </w:r>
      <w:r w:rsidR="005D1C77">
        <w:rPr>
          <w:rFonts w:ascii="Calibri" w:eastAsiaTheme="minorEastAsia" w:hAnsi="Calibri"/>
          <w:color w:val="000000"/>
        </w:rPr>
        <w:t xml:space="preserve">capture the </w:t>
      </w:r>
      <w:r w:rsidR="00EA1607">
        <w:rPr>
          <w:rFonts w:ascii="Calibri" w:eastAsiaTheme="minorEastAsia" w:hAnsi="Calibri"/>
          <w:color w:val="000000"/>
        </w:rPr>
        <w:t xml:space="preserve">depth and breadth </w:t>
      </w:r>
      <w:r w:rsidR="005D1C77">
        <w:rPr>
          <w:rFonts w:ascii="Calibri" w:eastAsiaTheme="minorEastAsia" w:hAnsi="Calibri"/>
          <w:color w:val="000000"/>
        </w:rPr>
        <w:t xml:space="preserve">of </w:t>
      </w:r>
      <w:r w:rsidR="00910C7C">
        <w:rPr>
          <w:rFonts w:ascii="Calibri" w:eastAsiaTheme="minorEastAsia" w:hAnsi="Calibri"/>
          <w:color w:val="000000"/>
        </w:rPr>
        <w:t>the research</w:t>
      </w:r>
      <w:r w:rsidR="00EA1607">
        <w:rPr>
          <w:rFonts w:ascii="Calibri" w:eastAsiaTheme="minorEastAsia" w:hAnsi="Calibri"/>
          <w:color w:val="000000"/>
        </w:rPr>
        <w:t xml:space="preserve"> question at hand</w:t>
      </w:r>
      <w:r w:rsidR="00600634">
        <w:rPr>
          <w:rFonts w:ascii="Calibri" w:eastAsiaTheme="minorEastAsia" w:hAnsi="Calibri"/>
          <w:color w:val="000000"/>
        </w:rPr>
        <w:t>.</w:t>
      </w:r>
      <w:r w:rsidR="0026411B">
        <w:rPr>
          <w:rFonts w:ascii="Calibri" w:eastAsiaTheme="minorEastAsia" w:hAnsi="Calibri"/>
          <w:color w:val="000000"/>
        </w:rPr>
        <w:t xml:space="preserve"> </w:t>
      </w:r>
      <w:r w:rsidR="005D1C77">
        <w:rPr>
          <w:rFonts w:ascii="Calibri" w:eastAsiaTheme="minorEastAsia" w:hAnsi="Calibri"/>
          <w:color w:val="000000"/>
        </w:rPr>
        <w:t xml:space="preserve"> </w:t>
      </w:r>
    </w:p>
    <w:p w:rsidR="00604C2B" w:rsidRDefault="00604C2B" w:rsidP="00394A29">
      <w:pPr>
        <w:rPr>
          <w:rFonts w:ascii="Calibri" w:eastAsiaTheme="minorEastAsia" w:hAnsi="Calibri"/>
          <w:color w:val="000000"/>
        </w:rPr>
      </w:pPr>
    </w:p>
    <w:p w:rsidR="00CA5E9C" w:rsidRPr="00936BF6" w:rsidRDefault="00CC4514" w:rsidP="00394A29">
      <w:pPr>
        <w:rPr>
          <w:rFonts w:ascii="Calibri" w:hAnsi="Calibri"/>
          <w:b/>
          <w:color w:val="000000"/>
        </w:rPr>
      </w:pPr>
      <w:r w:rsidRPr="00936BF6">
        <w:rPr>
          <w:rFonts w:ascii="Calibri" w:hAnsi="Calibri"/>
          <w:b/>
          <w:color w:val="000000"/>
        </w:rPr>
        <w:t xml:space="preserve">Section 3 </w:t>
      </w:r>
      <w:r w:rsidRPr="00936BF6">
        <w:rPr>
          <w:rFonts w:ascii="Calibri" w:hAnsi="Calibri"/>
          <w:b/>
          <w:color w:val="000000"/>
        </w:rPr>
        <w:tab/>
        <w:t>Data and Data Analysis</w:t>
      </w:r>
    </w:p>
    <w:p w:rsidR="001C57C9" w:rsidRDefault="00B35295" w:rsidP="00394A29">
      <w:pPr>
        <w:rPr>
          <w:rFonts w:ascii="Calibri" w:hAnsi="Calibri"/>
          <w:color w:val="000000"/>
        </w:rPr>
      </w:pPr>
      <w:r>
        <w:rPr>
          <w:rFonts w:ascii="Calibri" w:hAnsi="Calibri"/>
          <w:color w:val="000000"/>
        </w:rPr>
        <w:t>The stock market data for this paper are of daily frequency and were extracted from</w:t>
      </w:r>
      <w:r w:rsidR="007767DE">
        <w:rPr>
          <w:rFonts w:ascii="Calibri" w:hAnsi="Calibri"/>
          <w:color w:val="000000"/>
        </w:rPr>
        <w:t xml:space="preserve"> the </w:t>
      </w:r>
      <w:r w:rsidR="00F2404C">
        <w:rPr>
          <w:rFonts w:ascii="Calibri" w:hAnsi="Calibri"/>
          <w:color w:val="000000"/>
        </w:rPr>
        <w:t>Thomson Reuters</w:t>
      </w:r>
      <w:r w:rsidR="00936BF6">
        <w:rPr>
          <w:rFonts w:ascii="Calibri" w:hAnsi="Calibri"/>
          <w:color w:val="000000"/>
        </w:rPr>
        <w:t xml:space="preserve"> </w:t>
      </w:r>
      <w:r w:rsidR="007767DE">
        <w:rPr>
          <w:rFonts w:ascii="Calibri" w:hAnsi="Calibri"/>
          <w:color w:val="000000"/>
        </w:rPr>
        <w:t>database. The data are organized by industries or sectors, by country and by region</w:t>
      </w:r>
      <w:r w:rsidR="005512C4">
        <w:rPr>
          <w:rFonts w:ascii="Calibri" w:hAnsi="Calibri"/>
          <w:color w:val="000000"/>
        </w:rPr>
        <w:t>. We exploit all three dimensions for the GCC</w:t>
      </w:r>
      <w:r w:rsidR="00F2404C">
        <w:rPr>
          <w:rFonts w:ascii="Calibri" w:hAnsi="Calibri"/>
          <w:color w:val="000000"/>
        </w:rPr>
        <w:t xml:space="preserve"> region</w:t>
      </w:r>
      <w:r w:rsidR="005512C4">
        <w:rPr>
          <w:rFonts w:ascii="Calibri" w:hAnsi="Calibri"/>
          <w:color w:val="000000"/>
        </w:rPr>
        <w:t>. A perceptible feature of the data</w:t>
      </w:r>
      <w:r w:rsidR="00291EF8">
        <w:rPr>
          <w:rFonts w:ascii="Calibri" w:hAnsi="Calibri"/>
          <w:color w:val="000000"/>
        </w:rPr>
        <w:t xml:space="preserve"> </w:t>
      </w:r>
      <w:r w:rsidR="0090391F">
        <w:rPr>
          <w:rFonts w:ascii="Calibri" w:hAnsi="Calibri"/>
          <w:color w:val="000000"/>
        </w:rPr>
        <w:t>shown in Table 1</w:t>
      </w:r>
      <w:r w:rsidR="005512C4">
        <w:rPr>
          <w:rFonts w:ascii="Calibri" w:hAnsi="Calibri"/>
          <w:color w:val="000000"/>
        </w:rPr>
        <w:t xml:space="preserve"> is that the number of sectors and the sample size</w:t>
      </w:r>
      <w:r w:rsidR="00291EF8">
        <w:rPr>
          <w:rFonts w:ascii="Calibri" w:hAnsi="Calibri"/>
          <w:color w:val="000000"/>
        </w:rPr>
        <w:t>s</w:t>
      </w:r>
      <w:r w:rsidR="005512C4">
        <w:rPr>
          <w:rFonts w:ascii="Calibri" w:hAnsi="Calibri"/>
          <w:color w:val="000000"/>
        </w:rPr>
        <w:t xml:space="preserve"> vary across countries</w:t>
      </w:r>
      <w:r w:rsidR="0090391F">
        <w:rPr>
          <w:rFonts w:ascii="Calibri" w:hAnsi="Calibri"/>
          <w:color w:val="000000"/>
        </w:rPr>
        <w:t xml:space="preserve">: </w:t>
      </w:r>
    </w:p>
    <w:p w:rsidR="00C95ED6" w:rsidRDefault="00E1141E">
      <w:pPr>
        <w:pStyle w:val="ListParagraph"/>
        <w:numPr>
          <w:ilvl w:val="0"/>
          <w:numId w:val="2"/>
        </w:numPr>
        <w:rPr>
          <w:rFonts w:ascii="Calibri" w:hAnsi="Calibri"/>
          <w:color w:val="000000"/>
        </w:rPr>
      </w:pPr>
      <w:r w:rsidRPr="00E1141E">
        <w:rPr>
          <w:rFonts w:ascii="Calibri" w:hAnsi="Calibri"/>
          <w:color w:val="000000"/>
        </w:rPr>
        <w:t xml:space="preserve">Bahrain (6 sectors, 1698 samples), </w:t>
      </w:r>
    </w:p>
    <w:p w:rsidR="00C95ED6" w:rsidRDefault="00E1141E">
      <w:pPr>
        <w:pStyle w:val="ListParagraph"/>
        <w:numPr>
          <w:ilvl w:val="0"/>
          <w:numId w:val="2"/>
        </w:numPr>
        <w:rPr>
          <w:rFonts w:ascii="Calibri" w:hAnsi="Calibri"/>
          <w:color w:val="000000"/>
        </w:rPr>
      </w:pPr>
      <w:r w:rsidRPr="00E1141E">
        <w:rPr>
          <w:rFonts w:ascii="Calibri" w:hAnsi="Calibri"/>
          <w:color w:val="000000"/>
        </w:rPr>
        <w:t xml:space="preserve">Kuwait (8 sectors, 2241 samples), </w:t>
      </w:r>
    </w:p>
    <w:p w:rsidR="00C95ED6" w:rsidRDefault="00E1141E">
      <w:pPr>
        <w:pStyle w:val="ListParagraph"/>
        <w:numPr>
          <w:ilvl w:val="0"/>
          <w:numId w:val="2"/>
        </w:numPr>
        <w:rPr>
          <w:rFonts w:ascii="Calibri" w:hAnsi="Calibri"/>
          <w:color w:val="000000"/>
        </w:rPr>
      </w:pPr>
      <w:r w:rsidRPr="00E1141E">
        <w:rPr>
          <w:rFonts w:ascii="Calibri" w:hAnsi="Calibri"/>
          <w:color w:val="000000"/>
        </w:rPr>
        <w:t xml:space="preserve">Oman (3 sectors, 3128 samples), </w:t>
      </w:r>
    </w:p>
    <w:p w:rsidR="00C95ED6" w:rsidRDefault="00E1141E">
      <w:pPr>
        <w:pStyle w:val="ListParagraph"/>
        <w:numPr>
          <w:ilvl w:val="0"/>
          <w:numId w:val="2"/>
        </w:numPr>
        <w:rPr>
          <w:rFonts w:ascii="Calibri" w:hAnsi="Calibri"/>
          <w:color w:val="000000"/>
        </w:rPr>
      </w:pPr>
      <w:r w:rsidRPr="00E1141E">
        <w:rPr>
          <w:rFonts w:ascii="Calibri" w:hAnsi="Calibri"/>
          <w:color w:val="000000"/>
        </w:rPr>
        <w:t xml:space="preserve">Qatar (4 sectors, 2515 samples), </w:t>
      </w:r>
    </w:p>
    <w:p w:rsidR="00C95ED6" w:rsidRDefault="00E1141E">
      <w:pPr>
        <w:pStyle w:val="ListParagraph"/>
        <w:numPr>
          <w:ilvl w:val="0"/>
          <w:numId w:val="2"/>
        </w:numPr>
        <w:rPr>
          <w:rFonts w:ascii="Calibri" w:hAnsi="Calibri"/>
          <w:color w:val="000000"/>
        </w:rPr>
      </w:pPr>
      <w:r w:rsidRPr="00E1141E">
        <w:rPr>
          <w:rFonts w:ascii="Calibri" w:hAnsi="Calibri"/>
          <w:color w:val="000000"/>
        </w:rPr>
        <w:t xml:space="preserve">Saudi Arabia (15 sectors, 967 samples), </w:t>
      </w:r>
    </w:p>
    <w:p w:rsidR="00C95ED6" w:rsidRDefault="00E1141E">
      <w:pPr>
        <w:pStyle w:val="ListParagraph"/>
        <w:numPr>
          <w:ilvl w:val="0"/>
          <w:numId w:val="2"/>
        </w:numPr>
        <w:rPr>
          <w:rFonts w:ascii="Calibri" w:hAnsi="Calibri"/>
          <w:color w:val="000000"/>
        </w:rPr>
      </w:pPr>
      <w:r w:rsidRPr="00E1141E">
        <w:rPr>
          <w:rFonts w:ascii="Calibri" w:hAnsi="Calibri"/>
          <w:color w:val="000000"/>
        </w:rPr>
        <w:t xml:space="preserve">UAE–Abu Dhabi and UAE–Dubai (9 sectors and 875 samples each), </w:t>
      </w:r>
    </w:p>
    <w:p w:rsidR="00C95ED6" w:rsidRDefault="00E1141E">
      <w:pPr>
        <w:pStyle w:val="ListParagraph"/>
        <w:numPr>
          <w:ilvl w:val="0"/>
          <w:numId w:val="2"/>
        </w:numPr>
        <w:rPr>
          <w:rFonts w:ascii="Calibri" w:hAnsi="Calibri"/>
          <w:color w:val="000000"/>
        </w:rPr>
      </w:pPr>
      <w:r w:rsidRPr="00E1141E">
        <w:rPr>
          <w:rFonts w:ascii="Calibri" w:hAnsi="Calibri"/>
          <w:color w:val="000000"/>
        </w:rPr>
        <w:t xml:space="preserve">GCC (12 sectors, 1045 samples).  </w:t>
      </w:r>
    </w:p>
    <w:p w:rsidR="00BB4EEE" w:rsidRDefault="001200C1" w:rsidP="00394A29">
      <w:pPr>
        <w:rPr>
          <w:rFonts w:ascii="Calibri" w:hAnsi="Calibri"/>
          <w:color w:val="000000"/>
        </w:rPr>
      </w:pPr>
      <w:r>
        <w:rPr>
          <w:rFonts w:ascii="Calibri" w:hAnsi="Calibri"/>
          <w:color w:val="000000"/>
        </w:rPr>
        <w:lastRenderedPageBreak/>
        <w:t>Sectors that are common to all are banking, in</w:t>
      </w:r>
      <w:r w:rsidR="00F2404C">
        <w:rPr>
          <w:rFonts w:ascii="Calibri" w:hAnsi="Calibri"/>
          <w:color w:val="000000"/>
        </w:rPr>
        <w:t>surance, industry and services</w:t>
      </w:r>
      <w:r w:rsidR="00AE4653">
        <w:rPr>
          <w:rFonts w:ascii="Calibri" w:hAnsi="Calibri"/>
          <w:color w:val="000000"/>
        </w:rPr>
        <w:t>.</w:t>
      </w:r>
      <w:r w:rsidR="00F2404C">
        <w:rPr>
          <w:rStyle w:val="FootnoteReference"/>
          <w:rFonts w:ascii="Calibri" w:hAnsi="Calibri"/>
          <w:color w:val="000000"/>
        </w:rPr>
        <w:footnoteReference w:id="13"/>
      </w:r>
      <w:r w:rsidR="00AE4653">
        <w:rPr>
          <w:rFonts w:ascii="Calibri" w:hAnsi="Calibri"/>
          <w:color w:val="000000"/>
        </w:rPr>
        <w:t xml:space="preserve"> </w:t>
      </w:r>
      <w:r w:rsidR="00027B3F">
        <w:rPr>
          <w:rFonts w:ascii="Calibri" w:hAnsi="Calibri"/>
          <w:color w:val="000000"/>
        </w:rPr>
        <w:t xml:space="preserve">Since our primary objective is to examine the synchronicity </w:t>
      </w:r>
      <w:r w:rsidR="001C57C9">
        <w:rPr>
          <w:rFonts w:ascii="Calibri" w:hAnsi="Calibri"/>
          <w:color w:val="000000"/>
        </w:rPr>
        <w:t>(</w:t>
      </w:r>
      <w:r w:rsidR="00027B3F">
        <w:rPr>
          <w:rFonts w:ascii="Calibri" w:hAnsi="Calibri"/>
          <w:color w:val="000000"/>
        </w:rPr>
        <w:t>or lack thereof</w:t>
      </w:r>
      <w:r w:rsidR="001C57C9">
        <w:rPr>
          <w:rFonts w:ascii="Calibri" w:hAnsi="Calibri"/>
          <w:color w:val="000000"/>
        </w:rPr>
        <w:t>)</w:t>
      </w:r>
      <w:r w:rsidR="00027B3F">
        <w:rPr>
          <w:rFonts w:ascii="Calibri" w:hAnsi="Calibri"/>
          <w:color w:val="000000"/>
        </w:rPr>
        <w:t xml:space="preserve"> between individual </w:t>
      </w:r>
      <w:r w:rsidR="00674202">
        <w:rPr>
          <w:rFonts w:ascii="Calibri" w:hAnsi="Calibri"/>
          <w:color w:val="000000"/>
        </w:rPr>
        <w:t>stock</w:t>
      </w:r>
      <w:r w:rsidR="00027B3F">
        <w:rPr>
          <w:rFonts w:ascii="Calibri" w:hAnsi="Calibri"/>
          <w:color w:val="000000"/>
        </w:rPr>
        <w:t xml:space="preserve"> sectors and the crude oil market, this feature of the data does not constitute an impediment</w:t>
      </w:r>
      <w:r w:rsidR="003D4F08">
        <w:rPr>
          <w:rFonts w:ascii="Calibri" w:hAnsi="Calibri"/>
          <w:color w:val="000000"/>
        </w:rPr>
        <w:t xml:space="preserve"> in our search for a general pattern. </w:t>
      </w:r>
      <w:r>
        <w:rPr>
          <w:rFonts w:ascii="Calibri" w:hAnsi="Calibri"/>
          <w:color w:val="000000"/>
        </w:rPr>
        <w:t xml:space="preserve">The crude oil price </w:t>
      </w:r>
      <w:r w:rsidR="001C57C9">
        <w:rPr>
          <w:rFonts w:ascii="Calibri" w:hAnsi="Calibri"/>
          <w:color w:val="000000"/>
        </w:rPr>
        <w:t>(</w:t>
      </w:r>
      <w:r>
        <w:rPr>
          <w:rFonts w:ascii="Calibri" w:hAnsi="Calibri"/>
          <w:color w:val="000000"/>
        </w:rPr>
        <w:t xml:space="preserve">or oil price </w:t>
      </w:r>
      <w:r w:rsidR="001C57C9">
        <w:rPr>
          <w:rFonts w:ascii="Calibri" w:hAnsi="Calibri"/>
          <w:color w:val="000000"/>
        </w:rPr>
        <w:t xml:space="preserve">for short) </w:t>
      </w:r>
      <w:r w:rsidR="003319BC">
        <w:rPr>
          <w:rFonts w:ascii="Calibri" w:hAnsi="Calibri"/>
          <w:color w:val="000000"/>
        </w:rPr>
        <w:t>is</w:t>
      </w:r>
      <w:r>
        <w:rPr>
          <w:rFonts w:ascii="Calibri" w:hAnsi="Calibri"/>
          <w:color w:val="000000"/>
        </w:rPr>
        <w:t xml:space="preserve"> the West Texas Intermediate</w:t>
      </w:r>
      <w:r w:rsidR="003319BC">
        <w:rPr>
          <w:rFonts w:ascii="Calibri" w:hAnsi="Calibri"/>
          <w:color w:val="000000"/>
        </w:rPr>
        <w:t>,</w:t>
      </w:r>
      <w:r>
        <w:rPr>
          <w:rFonts w:ascii="Calibri" w:hAnsi="Calibri"/>
          <w:color w:val="000000"/>
        </w:rPr>
        <w:t xml:space="preserve"> which is the most widely used in the world. This data sample was adjusted to match the </w:t>
      </w:r>
      <w:r w:rsidR="00674202">
        <w:rPr>
          <w:rFonts w:ascii="Calibri" w:hAnsi="Calibri"/>
          <w:color w:val="000000"/>
        </w:rPr>
        <w:t>stock</w:t>
      </w:r>
      <w:r>
        <w:rPr>
          <w:rFonts w:ascii="Calibri" w:hAnsi="Calibri"/>
          <w:color w:val="000000"/>
        </w:rPr>
        <w:t xml:space="preserve"> data sample of each country/economic bloc.</w:t>
      </w:r>
      <w:r w:rsidR="009606E5">
        <w:rPr>
          <w:rFonts w:ascii="Calibri" w:hAnsi="Calibri"/>
          <w:color w:val="000000"/>
        </w:rPr>
        <w:t xml:space="preserve"> Figure 1 displays the paths of </w:t>
      </w:r>
      <w:r w:rsidR="001C57C9">
        <w:rPr>
          <w:rFonts w:ascii="Calibri" w:hAnsi="Calibri"/>
          <w:color w:val="000000"/>
        </w:rPr>
        <w:t xml:space="preserve">the </w:t>
      </w:r>
      <w:r w:rsidR="009606E5">
        <w:rPr>
          <w:rFonts w:ascii="Calibri" w:hAnsi="Calibri"/>
          <w:color w:val="000000"/>
        </w:rPr>
        <w:t xml:space="preserve">stock market </w:t>
      </w:r>
      <w:r w:rsidR="00DC0FD1">
        <w:rPr>
          <w:rFonts w:ascii="Calibri" w:hAnsi="Calibri"/>
          <w:color w:val="000000"/>
        </w:rPr>
        <w:t>indices</w:t>
      </w:r>
      <w:r w:rsidR="009606E5">
        <w:rPr>
          <w:rFonts w:ascii="Calibri" w:hAnsi="Calibri"/>
          <w:color w:val="000000"/>
        </w:rPr>
        <w:t xml:space="preserve"> and the oil price for individual GCC countries and for the GCC as a bloc. </w:t>
      </w:r>
      <w:r w:rsidR="00CA7397">
        <w:rPr>
          <w:rFonts w:ascii="Calibri" w:hAnsi="Calibri"/>
          <w:color w:val="000000"/>
        </w:rPr>
        <w:t xml:space="preserve">As can be </w:t>
      </w:r>
      <w:r w:rsidR="001C57C9">
        <w:rPr>
          <w:rFonts w:ascii="Calibri" w:hAnsi="Calibri"/>
          <w:color w:val="000000"/>
        </w:rPr>
        <w:t>gleaned from this figure</w:t>
      </w:r>
      <w:r w:rsidR="00CA7397">
        <w:rPr>
          <w:rFonts w:ascii="Calibri" w:hAnsi="Calibri"/>
          <w:color w:val="000000"/>
        </w:rPr>
        <w:t xml:space="preserve">, the two series tend to co-move over time, whether we focus on sectoral or national </w:t>
      </w:r>
      <w:r w:rsidR="00674202">
        <w:rPr>
          <w:rFonts w:ascii="Calibri" w:hAnsi="Calibri"/>
          <w:color w:val="000000"/>
        </w:rPr>
        <w:t>stock</w:t>
      </w:r>
      <w:r w:rsidR="00CA7397">
        <w:rPr>
          <w:rFonts w:ascii="Calibri" w:hAnsi="Calibri"/>
          <w:color w:val="000000"/>
        </w:rPr>
        <w:t xml:space="preserve"> markets. </w:t>
      </w:r>
      <w:r w:rsidR="00640B49">
        <w:rPr>
          <w:rFonts w:ascii="Calibri" w:hAnsi="Calibri"/>
          <w:color w:val="000000"/>
        </w:rPr>
        <w:t xml:space="preserve">However, nothing at this point can be said about the strength of that synchronicity. </w:t>
      </w:r>
    </w:p>
    <w:p w:rsidR="00BB4EEE" w:rsidRPr="00BB4EEE" w:rsidRDefault="00BB4EEE" w:rsidP="005E6E47">
      <w:pPr>
        <w:spacing w:after="0" w:line="240" w:lineRule="auto"/>
        <w:outlineLvl w:val="0"/>
        <w:rPr>
          <w:rFonts w:ascii="Calibri" w:hAnsi="Calibri"/>
          <w:b/>
          <w:color w:val="000000"/>
        </w:rPr>
      </w:pPr>
      <w:r w:rsidRPr="00BB4EEE">
        <w:rPr>
          <w:rFonts w:ascii="Calibri" w:hAnsi="Calibri"/>
          <w:b/>
          <w:color w:val="000000"/>
        </w:rPr>
        <w:t>Table 1 about here</w:t>
      </w:r>
    </w:p>
    <w:p w:rsidR="00BB4EEE" w:rsidRDefault="00BB4EEE" w:rsidP="005E6E47">
      <w:pPr>
        <w:spacing w:after="0" w:line="240" w:lineRule="auto"/>
        <w:outlineLvl w:val="0"/>
        <w:rPr>
          <w:rFonts w:ascii="Calibri" w:hAnsi="Calibri"/>
          <w:b/>
          <w:color w:val="000000"/>
        </w:rPr>
      </w:pPr>
      <w:r w:rsidRPr="00BB4EEE">
        <w:rPr>
          <w:rFonts w:ascii="Calibri" w:hAnsi="Calibri"/>
          <w:b/>
          <w:color w:val="000000"/>
        </w:rPr>
        <w:t>Figure 1 about here</w:t>
      </w:r>
    </w:p>
    <w:p w:rsidR="00F2404C" w:rsidRPr="00F2404C" w:rsidRDefault="00F2404C" w:rsidP="00F2404C">
      <w:pPr>
        <w:spacing w:after="0" w:line="240" w:lineRule="auto"/>
        <w:rPr>
          <w:rFonts w:ascii="Calibri" w:hAnsi="Calibri"/>
          <w:b/>
          <w:color w:val="000000"/>
        </w:rPr>
      </w:pPr>
    </w:p>
    <w:p w:rsidR="00F05875" w:rsidRDefault="009926EE" w:rsidP="00394A29">
      <w:pPr>
        <w:rPr>
          <w:rFonts w:ascii="Calibri" w:hAnsi="Calibri"/>
          <w:color w:val="000000"/>
        </w:rPr>
      </w:pPr>
      <w:r>
        <w:rPr>
          <w:rFonts w:ascii="Calibri" w:hAnsi="Calibri"/>
          <w:color w:val="000000"/>
        </w:rPr>
        <w:t>We</w:t>
      </w:r>
      <w:r w:rsidR="00F05875">
        <w:rPr>
          <w:rFonts w:ascii="Calibri" w:hAnsi="Calibri"/>
          <w:color w:val="000000"/>
        </w:rPr>
        <w:t xml:space="preserve"> begin the data analysis by computing </w:t>
      </w:r>
      <w:r w:rsidR="00221802">
        <w:rPr>
          <w:rFonts w:ascii="Calibri" w:hAnsi="Calibri"/>
          <w:color w:val="000000"/>
        </w:rPr>
        <w:t xml:space="preserve">daily </w:t>
      </w:r>
      <w:r w:rsidR="00F05875">
        <w:rPr>
          <w:rFonts w:ascii="Calibri" w:hAnsi="Calibri"/>
          <w:color w:val="000000"/>
        </w:rPr>
        <w:t>return</w:t>
      </w:r>
      <w:r w:rsidR="00221802">
        <w:rPr>
          <w:rFonts w:ascii="Calibri" w:hAnsi="Calibri"/>
          <w:color w:val="000000"/>
        </w:rPr>
        <w:t>s</w:t>
      </w:r>
      <w:r w:rsidR="00F05875">
        <w:rPr>
          <w:rFonts w:ascii="Calibri" w:hAnsi="Calibri"/>
          <w:color w:val="000000"/>
        </w:rPr>
        <w:t xml:space="preserve"> as:</w:t>
      </w:r>
    </w:p>
    <w:p w:rsidR="00F05875" w:rsidRDefault="00B93993" w:rsidP="00394A29">
      <w:pPr>
        <w:rPr>
          <w:rFonts w:ascii="Calibri" w:eastAsiaTheme="minorEastAsia" w:hAnsi="Calibri"/>
          <w:color w:val="000000"/>
        </w:rPr>
      </w:pPr>
      <m:oMath>
        <m:sSub>
          <m:sSubPr>
            <m:ctrlPr>
              <w:rPr>
                <w:rFonts w:ascii="Cambria Math" w:hAnsi="Cambria Math"/>
                <w:i/>
                <w:color w:val="000000"/>
              </w:rPr>
            </m:ctrlPr>
          </m:sSubPr>
          <m:e>
            <m:r>
              <w:rPr>
                <w:rFonts w:ascii="Cambria Math" w:hAnsi="Cambria Math"/>
                <w:color w:val="000000"/>
              </w:rPr>
              <m:t>r</m:t>
            </m:r>
          </m:e>
          <m:sub>
            <m:r>
              <w:rPr>
                <w:rFonts w:ascii="Cambria Math" w:hAnsi="Cambria Math"/>
                <w:color w:val="000000"/>
              </w:rPr>
              <m:t>t</m:t>
            </m:r>
          </m:sub>
        </m:sSub>
        <m:r>
          <w:rPr>
            <w:rFonts w:ascii="Cambria Math" w:hAnsi="Cambria Math"/>
            <w:color w:val="000000"/>
          </w:rPr>
          <m:t>=</m:t>
        </m:r>
        <m:func>
          <m:funcPr>
            <m:ctrlPr>
              <w:rPr>
                <w:rFonts w:ascii="Cambria Math" w:hAnsi="Cambria Math"/>
                <w:color w:val="000000"/>
              </w:rPr>
            </m:ctrlPr>
          </m:funcPr>
          <m:fName>
            <m:r>
              <m:rPr>
                <m:sty m:val="p"/>
              </m:rPr>
              <w:rPr>
                <w:rFonts w:ascii="Cambria Math" w:hAnsi="Cambria Math"/>
                <w:color w:val="000000"/>
              </w:rPr>
              <m:t>ln</m:t>
            </m:r>
          </m:fName>
          <m:e>
            <m:d>
              <m:dPr>
                <m:ctrlPr>
                  <w:rPr>
                    <w:rFonts w:ascii="Cambria Math" w:hAnsi="Cambria Math"/>
                    <w:i/>
                    <w:color w:val="000000"/>
                  </w:rPr>
                </m:ctrlPr>
              </m:dPr>
              <m:e>
                <m:f>
                  <m:fPr>
                    <m:type m:val="lin"/>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t</m:t>
                        </m:r>
                      </m:sub>
                    </m:sSub>
                  </m:num>
                  <m:den>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t-1</m:t>
                        </m:r>
                      </m:sub>
                    </m:sSub>
                  </m:den>
                </m:f>
              </m:e>
            </m:d>
            <m:ctrlPr>
              <w:rPr>
                <w:rFonts w:ascii="Cambria Math" w:eastAsiaTheme="minorEastAsia" w:hAnsi="Cambria Math"/>
                <w:i/>
                <w:color w:val="000000"/>
              </w:rPr>
            </m:ctrlPr>
          </m:e>
        </m:func>
        <m:r>
          <w:rPr>
            <w:rFonts w:ascii="Cambria Math" w:hAnsi="Cambria Math"/>
            <w:color w:val="000000"/>
          </w:rPr>
          <m:t>,</m:t>
        </m:r>
      </m:oMath>
      <w:r w:rsidR="00F05875">
        <w:rPr>
          <w:rFonts w:ascii="Calibri" w:eastAsiaTheme="minorEastAsia" w:hAnsi="Calibri"/>
          <w:color w:val="000000"/>
        </w:rPr>
        <w:tab/>
      </w:r>
      <w:r w:rsidR="00F05875">
        <w:rPr>
          <w:rFonts w:ascii="Calibri" w:eastAsiaTheme="minorEastAsia" w:hAnsi="Calibri"/>
          <w:color w:val="000000"/>
        </w:rPr>
        <w:tab/>
      </w:r>
      <w:r w:rsidR="00F05875">
        <w:rPr>
          <w:rFonts w:ascii="Calibri" w:eastAsiaTheme="minorEastAsia" w:hAnsi="Calibri"/>
          <w:color w:val="000000"/>
        </w:rPr>
        <w:tab/>
      </w:r>
      <w:r w:rsidR="00F05875">
        <w:rPr>
          <w:rFonts w:ascii="Calibri" w:eastAsiaTheme="minorEastAsia" w:hAnsi="Calibri"/>
          <w:color w:val="000000"/>
        </w:rPr>
        <w:tab/>
      </w:r>
      <w:r w:rsidR="00F05875">
        <w:rPr>
          <w:rFonts w:ascii="Calibri" w:eastAsiaTheme="minorEastAsia" w:hAnsi="Calibri"/>
          <w:color w:val="000000"/>
        </w:rPr>
        <w:tab/>
      </w:r>
      <w:r w:rsidR="00F05875">
        <w:rPr>
          <w:rFonts w:ascii="Calibri" w:eastAsiaTheme="minorEastAsia" w:hAnsi="Calibri"/>
          <w:color w:val="000000"/>
        </w:rPr>
        <w:tab/>
      </w:r>
      <w:r w:rsidR="00F05875">
        <w:rPr>
          <w:rFonts w:ascii="Calibri" w:eastAsiaTheme="minorEastAsia" w:hAnsi="Calibri"/>
          <w:color w:val="000000"/>
        </w:rPr>
        <w:tab/>
      </w:r>
      <w:r w:rsidR="00F05875">
        <w:rPr>
          <w:rFonts w:ascii="Calibri" w:eastAsiaTheme="minorEastAsia" w:hAnsi="Calibri"/>
          <w:color w:val="000000"/>
        </w:rPr>
        <w:tab/>
        <w:t>(9)</w:t>
      </w:r>
    </w:p>
    <w:p w:rsidR="00030F96" w:rsidRDefault="001C57C9" w:rsidP="00394A29">
      <w:pPr>
        <w:rPr>
          <w:rFonts w:ascii="Calibri" w:eastAsiaTheme="minorEastAsia" w:hAnsi="Calibri"/>
          <w:color w:val="000000"/>
        </w:rPr>
      </w:pPr>
      <w:r>
        <w:rPr>
          <w:rFonts w:ascii="Calibri" w:eastAsiaTheme="minorEastAsia" w:hAnsi="Calibri"/>
          <w:color w:val="000000"/>
        </w:rPr>
        <w:t>w</w:t>
      </w:r>
      <w:r w:rsidR="00F05875">
        <w:rPr>
          <w:rFonts w:ascii="Calibri" w:eastAsiaTheme="minorEastAsia" w:hAnsi="Calibri"/>
          <w:color w:val="000000"/>
        </w:rPr>
        <w:t xml:space="preserve">here </w:t>
      </w:r>
      <w:r w:rsidR="00E1141E" w:rsidRPr="00E1141E">
        <w:rPr>
          <w:rFonts w:ascii="Calibri" w:eastAsiaTheme="minorEastAsia" w:hAnsi="Calibri"/>
          <w:i/>
          <w:color w:val="000000"/>
        </w:rPr>
        <w:t>r</w:t>
      </w:r>
      <w:r w:rsidR="00F05875">
        <w:rPr>
          <w:rFonts w:ascii="Calibri" w:eastAsiaTheme="minorEastAsia" w:hAnsi="Calibri"/>
          <w:color w:val="000000"/>
          <w:vertAlign w:val="subscript"/>
        </w:rPr>
        <w:t>t</w:t>
      </w:r>
      <w:r w:rsidR="00F05875">
        <w:rPr>
          <w:rFonts w:ascii="Calibri" w:eastAsiaTheme="minorEastAsia" w:hAnsi="Calibri"/>
          <w:color w:val="000000"/>
        </w:rPr>
        <w:t xml:space="preserve"> is the daily return</w:t>
      </w:r>
      <w:r w:rsidR="00221802">
        <w:rPr>
          <w:rFonts w:ascii="Calibri" w:eastAsiaTheme="minorEastAsia" w:hAnsi="Calibri"/>
          <w:color w:val="000000"/>
        </w:rPr>
        <w:t xml:space="preserve"> of either the stock or the crude oil market</w:t>
      </w:r>
      <w:r w:rsidR="009D1710">
        <w:rPr>
          <w:rFonts w:ascii="Calibri" w:eastAsiaTheme="minorEastAsia" w:hAnsi="Calibri"/>
          <w:color w:val="000000"/>
        </w:rPr>
        <w:t xml:space="preserve">, ln is the natural logarithm and </w:t>
      </w:r>
      <w:r w:rsidR="00E1141E" w:rsidRPr="00E1141E">
        <w:rPr>
          <w:rFonts w:ascii="Calibri" w:eastAsiaTheme="minorEastAsia" w:hAnsi="Calibri"/>
          <w:i/>
          <w:color w:val="000000"/>
        </w:rPr>
        <w:t>P</w:t>
      </w:r>
      <w:r w:rsidR="009D1710">
        <w:rPr>
          <w:rFonts w:ascii="Calibri" w:eastAsiaTheme="minorEastAsia" w:hAnsi="Calibri"/>
          <w:color w:val="000000"/>
          <w:vertAlign w:val="subscript"/>
        </w:rPr>
        <w:t xml:space="preserve">t </w:t>
      </w:r>
      <w:r w:rsidR="009D1710">
        <w:rPr>
          <w:rFonts w:ascii="Calibri" w:eastAsiaTheme="minorEastAsia" w:hAnsi="Calibri"/>
          <w:color w:val="000000"/>
        </w:rPr>
        <w:t xml:space="preserve">is either the stock index or the oil price at time </w:t>
      </w:r>
      <w:r w:rsidR="00E1141E" w:rsidRPr="00E1141E">
        <w:rPr>
          <w:rFonts w:ascii="Calibri" w:eastAsiaTheme="minorEastAsia" w:hAnsi="Calibri"/>
          <w:i/>
          <w:color w:val="000000"/>
        </w:rPr>
        <w:t>t</w:t>
      </w:r>
      <w:r w:rsidR="009D1710">
        <w:rPr>
          <w:rFonts w:ascii="Calibri" w:eastAsiaTheme="minorEastAsia" w:hAnsi="Calibri"/>
          <w:color w:val="000000"/>
        </w:rPr>
        <w:t xml:space="preserve">. </w:t>
      </w:r>
      <w:r w:rsidR="00221802">
        <w:rPr>
          <w:rFonts w:ascii="Calibri" w:eastAsiaTheme="minorEastAsia" w:hAnsi="Calibri"/>
          <w:color w:val="000000"/>
        </w:rPr>
        <w:t xml:space="preserve"> </w:t>
      </w:r>
      <w:r w:rsidR="00C34A5B">
        <w:rPr>
          <w:rFonts w:ascii="Calibri" w:eastAsiaTheme="minorEastAsia" w:hAnsi="Calibri"/>
          <w:color w:val="000000"/>
        </w:rPr>
        <w:t xml:space="preserve">We then compute </w:t>
      </w:r>
      <w:r w:rsidR="000C3ED1">
        <w:rPr>
          <w:rFonts w:ascii="Calibri" w:eastAsiaTheme="minorEastAsia" w:hAnsi="Calibri"/>
          <w:color w:val="000000"/>
        </w:rPr>
        <w:t xml:space="preserve">the annualized </w:t>
      </w:r>
      <w:r w:rsidR="00C34A5B">
        <w:rPr>
          <w:rFonts w:ascii="Calibri" w:eastAsiaTheme="minorEastAsia" w:hAnsi="Calibri"/>
          <w:color w:val="000000"/>
        </w:rPr>
        <w:t>historical</w:t>
      </w:r>
      <w:r w:rsidR="000C3ED1">
        <w:rPr>
          <w:rFonts w:ascii="Calibri" w:eastAsiaTheme="minorEastAsia" w:hAnsi="Calibri"/>
          <w:color w:val="000000"/>
        </w:rPr>
        <w:t xml:space="preserve"> or </w:t>
      </w:r>
      <w:r w:rsidR="00E1141E" w:rsidRPr="00E1141E">
        <w:rPr>
          <w:rFonts w:ascii="Calibri" w:eastAsiaTheme="minorEastAsia" w:hAnsi="Calibri"/>
          <w:i/>
          <w:color w:val="000000"/>
        </w:rPr>
        <w:t>N</w:t>
      </w:r>
      <w:r w:rsidR="000C3ED1">
        <w:rPr>
          <w:rFonts w:ascii="Calibri" w:eastAsiaTheme="minorEastAsia" w:hAnsi="Calibri"/>
          <w:color w:val="000000"/>
        </w:rPr>
        <w:t>-period</w:t>
      </w:r>
      <w:r>
        <w:rPr>
          <w:rFonts w:ascii="Calibri" w:eastAsiaTheme="minorEastAsia" w:hAnsi="Calibri"/>
          <w:color w:val="000000"/>
        </w:rPr>
        <w:t>’s</w:t>
      </w:r>
      <w:r w:rsidR="000C3ED1">
        <w:rPr>
          <w:rFonts w:ascii="Calibri" w:eastAsiaTheme="minorEastAsia" w:hAnsi="Calibri"/>
          <w:color w:val="000000"/>
        </w:rPr>
        <w:t xml:space="preserve"> rolling window moving average estimator of the</w:t>
      </w:r>
      <w:r w:rsidR="00C34A5B">
        <w:rPr>
          <w:rFonts w:ascii="Calibri" w:eastAsiaTheme="minorEastAsia" w:hAnsi="Calibri"/>
          <w:color w:val="000000"/>
        </w:rPr>
        <w:t xml:space="preserve"> volatility</w:t>
      </w:r>
      <w:r w:rsidR="000C3ED1">
        <w:rPr>
          <w:rFonts w:ascii="Calibri" w:eastAsiaTheme="minorEastAsia" w:hAnsi="Calibri"/>
          <w:color w:val="000000"/>
        </w:rPr>
        <w:t>, which corresponds to the product of the square root of the number of trading days and the standard deviation of the window:</w:t>
      </w:r>
    </w:p>
    <w:p w:rsidR="00030F96" w:rsidRDefault="00B93993" w:rsidP="00394A29">
      <w:pPr>
        <w:rPr>
          <w:rFonts w:ascii="Calibri" w:eastAsiaTheme="minorEastAsia" w:hAnsi="Calibri"/>
          <w:color w:val="000000"/>
        </w:rPr>
      </w:pPr>
      <m:oMath>
        <m:acc>
          <m:accPr>
            <m:ctrlPr>
              <w:rPr>
                <w:rFonts w:ascii="Cambria Math" w:eastAsiaTheme="minorEastAsia" w:hAnsi="Cambria Math"/>
                <w:i/>
                <w:color w:val="000000"/>
              </w:rPr>
            </m:ctrlPr>
          </m:accPr>
          <m:e>
            <m:sSub>
              <m:sSubPr>
                <m:ctrlPr>
                  <w:rPr>
                    <w:rFonts w:ascii="Cambria Math" w:eastAsiaTheme="minorEastAsia" w:hAnsi="Cambria Math"/>
                    <w:i/>
                    <w:color w:val="000000"/>
                  </w:rPr>
                </m:ctrlPr>
              </m:sSubPr>
              <m:e>
                <m:r>
                  <w:rPr>
                    <w:rFonts w:ascii="Cambria Math" w:eastAsiaTheme="minorEastAsia" w:hAnsi="Cambria Math"/>
                    <w:color w:val="000000"/>
                  </w:rPr>
                  <m:t>σ</m:t>
                </m:r>
              </m:e>
              <m:sub>
                <m:r>
                  <w:rPr>
                    <w:rFonts w:ascii="Cambria Math" w:eastAsiaTheme="minorEastAsia" w:hAnsi="Cambria Math"/>
                    <w:color w:val="000000"/>
                  </w:rPr>
                  <m:t>t</m:t>
                </m:r>
              </m:sub>
            </m:sSub>
          </m:e>
        </m:acc>
        <m:r>
          <w:rPr>
            <w:rFonts w:ascii="Cambria Math" w:eastAsiaTheme="minorEastAsia" w:hAnsi="Cambria Math"/>
            <w:color w:val="000000"/>
          </w:rPr>
          <m:t>=</m:t>
        </m:r>
        <m:sSup>
          <m:sSupPr>
            <m:ctrlPr>
              <w:rPr>
                <w:rFonts w:ascii="Cambria Math" w:eastAsiaTheme="minorEastAsia" w:hAnsi="Cambria Math"/>
                <w:i/>
                <w:color w:val="000000"/>
              </w:rPr>
            </m:ctrlPr>
          </m:sSupPr>
          <m:e>
            <m:r>
              <w:rPr>
                <w:rFonts w:ascii="Cambria Math" w:eastAsiaTheme="minorEastAsia" w:hAnsi="Cambria Math"/>
                <w:color w:val="000000"/>
              </w:rPr>
              <m:t>T</m:t>
            </m:r>
          </m:e>
          <m:sup>
            <m:f>
              <m:fPr>
                <m:type m:val="lin"/>
                <m:ctrlPr>
                  <w:rPr>
                    <w:rFonts w:ascii="Cambria Math" w:eastAsiaTheme="minorEastAsia" w:hAnsi="Cambria Math"/>
                    <w:i/>
                    <w:color w:val="000000"/>
                  </w:rPr>
                </m:ctrlPr>
              </m:fPr>
              <m:num>
                <m:r>
                  <w:rPr>
                    <w:rFonts w:ascii="Cambria Math" w:eastAsiaTheme="minorEastAsia" w:hAnsi="Cambria Math"/>
                    <w:color w:val="000000"/>
                  </w:rPr>
                  <m:t>1</m:t>
                </m:r>
              </m:num>
              <m:den>
                <m:r>
                  <w:rPr>
                    <w:rFonts w:ascii="Cambria Math" w:eastAsiaTheme="minorEastAsia" w:hAnsi="Cambria Math"/>
                    <w:color w:val="000000"/>
                  </w:rPr>
                  <m:t>2</m:t>
                </m:r>
              </m:den>
            </m:f>
          </m:sup>
        </m:sSup>
        <m:rad>
          <m:radPr>
            <m:degHide m:val="on"/>
            <m:ctrlPr>
              <w:rPr>
                <w:rFonts w:ascii="Cambria Math" w:eastAsiaTheme="minorEastAsia" w:hAnsi="Cambria Math"/>
                <w:i/>
                <w:color w:val="000000"/>
              </w:rPr>
            </m:ctrlPr>
          </m:radPr>
          <m:deg/>
          <m:e>
            <m:f>
              <m:fPr>
                <m:ctrlPr>
                  <w:rPr>
                    <w:rFonts w:ascii="Cambria Math" w:eastAsiaTheme="minorEastAsia" w:hAnsi="Cambria Math"/>
                    <w:i/>
                    <w:color w:val="000000"/>
                  </w:rPr>
                </m:ctrlPr>
              </m:fPr>
              <m:num>
                <m:r>
                  <w:rPr>
                    <w:rFonts w:ascii="Cambria Math" w:eastAsiaTheme="minorEastAsia" w:hAnsi="Cambria Math"/>
                    <w:color w:val="000000"/>
                  </w:rPr>
                  <m:t>1</m:t>
                </m:r>
              </m:num>
              <m:den>
                <m:r>
                  <w:rPr>
                    <w:rFonts w:ascii="Cambria Math" w:eastAsiaTheme="minorEastAsia" w:hAnsi="Cambria Math"/>
                    <w:color w:val="000000"/>
                  </w:rPr>
                  <m:t>N-1</m:t>
                </m:r>
              </m:den>
            </m:f>
            <m:nary>
              <m:naryPr>
                <m:chr m:val="∑"/>
                <m:limLoc m:val="undOvr"/>
                <m:ctrlPr>
                  <w:rPr>
                    <w:rFonts w:ascii="Cambria Math" w:eastAsiaTheme="minorEastAsia" w:hAnsi="Cambria Math"/>
                    <w:i/>
                    <w:color w:val="000000"/>
                  </w:rPr>
                </m:ctrlPr>
              </m:naryPr>
              <m:sub>
                <m:r>
                  <w:rPr>
                    <w:rFonts w:ascii="Cambria Math" w:eastAsiaTheme="minorEastAsia" w:hAnsi="Cambria Math"/>
                    <w:color w:val="000000"/>
                  </w:rPr>
                  <m:t>t=1</m:t>
                </m:r>
              </m:sub>
              <m:sup>
                <m:r>
                  <w:rPr>
                    <w:rFonts w:ascii="Cambria Math" w:eastAsiaTheme="minorEastAsia" w:hAnsi="Cambria Math"/>
                    <w:color w:val="000000"/>
                  </w:rPr>
                  <m:t>N</m:t>
                </m:r>
              </m:sup>
              <m:e>
                <m:sSup>
                  <m:sSupPr>
                    <m:ctrlPr>
                      <w:rPr>
                        <w:rFonts w:ascii="Cambria Math" w:eastAsiaTheme="minorEastAsia" w:hAnsi="Cambria Math"/>
                        <w:i/>
                        <w:color w:val="000000"/>
                      </w:rPr>
                    </m:ctrlPr>
                  </m:sSupPr>
                  <m:e>
                    <m:d>
                      <m:dPr>
                        <m:ctrlPr>
                          <w:rPr>
                            <w:rFonts w:ascii="Cambria Math" w:eastAsiaTheme="minorEastAsia" w:hAnsi="Cambria Math"/>
                            <w:i/>
                            <w:color w:val="000000"/>
                          </w:rPr>
                        </m:ctrlPr>
                      </m:dPr>
                      <m:e>
                        <m:sSub>
                          <m:sSubPr>
                            <m:ctrlPr>
                              <w:rPr>
                                <w:rFonts w:ascii="Cambria Math" w:eastAsiaTheme="minorEastAsia" w:hAnsi="Cambria Math"/>
                                <w:i/>
                                <w:color w:val="000000"/>
                              </w:rPr>
                            </m:ctrlPr>
                          </m:sSubPr>
                          <m:e>
                            <m:r>
                              <w:rPr>
                                <w:rFonts w:ascii="Cambria Math" w:eastAsiaTheme="minorEastAsia" w:hAnsi="Cambria Math"/>
                                <w:color w:val="000000"/>
                              </w:rPr>
                              <m:t>r</m:t>
                            </m:r>
                          </m:e>
                          <m:sub>
                            <m:r>
                              <w:rPr>
                                <w:rFonts w:ascii="Cambria Math" w:eastAsiaTheme="minorEastAsia" w:hAnsi="Cambria Math"/>
                                <w:color w:val="000000"/>
                              </w:rPr>
                              <m:t>t</m:t>
                            </m:r>
                          </m:sub>
                        </m:sSub>
                        <m:r>
                          <w:rPr>
                            <w:rFonts w:ascii="Cambria Math" w:eastAsiaTheme="minorEastAsia" w:hAnsi="Cambria Math"/>
                            <w:color w:val="000000"/>
                          </w:rPr>
                          <m:t>-</m:t>
                        </m:r>
                        <w:bookmarkStart w:id="2" w:name="OLE_LINK3"/>
                        <w:bookmarkStart w:id="3" w:name="OLE_LINK4"/>
                        <m:sSub>
                          <m:sSubPr>
                            <m:ctrlPr>
                              <w:rPr>
                                <w:rFonts w:ascii="Cambria Math" w:eastAsiaTheme="minorEastAsia" w:hAnsi="Cambria Math"/>
                                <w:i/>
                                <w:color w:val="000000"/>
                              </w:rPr>
                            </m:ctrlPr>
                          </m:sSubPr>
                          <m:e>
                            <m:acc>
                              <m:accPr>
                                <m:chr m:val="̅"/>
                                <m:ctrlPr>
                                  <w:rPr>
                                    <w:rFonts w:ascii="Cambria Math" w:eastAsiaTheme="minorEastAsia" w:hAnsi="Cambria Math"/>
                                    <w:i/>
                                    <w:color w:val="000000"/>
                                  </w:rPr>
                                </m:ctrlPr>
                              </m:accPr>
                              <m:e>
                                <m:r>
                                  <w:rPr>
                                    <w:rFonts w:ascii="Cambria Math" w:eastAsiaTheme="minorEastAsia" w:hAnsi="Cambria Math"/>
                                    <w:color w:val="000000"/>
                                  </w:rPr>
                                  <m:t>r</m:t>
                                </m:r>
                              </m:e>
                            </m:acc>
                          </m:e>
                          <m:sub>
                            <m:r>
                              <w:rPr>
                                <w:rFonts w:ascii="Cambria Math" w:eastAsiaTheme="minorEastAsia" w:hAnsi="Cambria Math"/>
                                <w:color w:val="000000"/>
                              </w:rPr>
                              <m:t>t</m:t>
                            </m:r>
                          </m:sub>
                        </m:sSub>
                        <w:bookmarkEnd w:id="2"/>
                        <w:bookmarkEnd w:id="3"/>
                      </m:e>
                    </m:d>
                  </m:e>
                  <m:sup>
                    <m:r>
                      <w:rPr>
                        <w:rFonts w:ascii="Cambria Math" w:eastAsiaTheme="minorEastAsia" w:hAnsi="Cambria Math"/>
                        <w:color w:val="000000"/>
                      </w:rPr>
                      <m:t>2</m:t>
                    </m:r>
                  </m:sup>
                </m:sSup>
              </m:e>
            </m:nary>
          </m:e>
        </m:rad>
        <m:r>
          <w:rPr>
            <w:rFonts w:ascii="Cambria Math" w:eastAsiaTheme="minorEastAsia" w:hAnsi="Cambria Math"/>
            <w:color w:val="000000"/>
          </w:rPr>
          <m:t>,</m:t>
        </m:r>
      </m:oMath>
      <w:r w:rsidR="002E4985">
        <w:rPr>
          <w:rFonts w:ascii="Calibri" w:eastAsiaTheme="minorEastAsia" w:hAnsi="Calibri"/>
          <w:color w:val="000000"/>
        </w:rPr>
        <w:tab/>
      </w:r>
      <w:r w:rsidR="002E4985">
        <w:rPr>
          <w:rFonts w:ascii="Calibri" w:eastAsiaTheme="minorEastAsia" w:hAnsi="Calibri"/>
          <w:color w:val="000000"/>
        </w:rPr>
        <w:tab/>
      </w:r>
      <w:r w:rsidR="00FD3BF6">
        <w:rPr>
          <w:rFonts w:ascii="Calibri" w:eastAsiaTheme="minorEastAsia" w:hAnsi="Calibri"/>
          <w:color w:val="000000"/>
        </w:rPr>
        <w:tab/>
      </w:r>
      <w:r w:rsidR="002E4985">
        <w:rPr>
          <w:rFonts w:ascii="Calibri" w:eastAsiaTheme="minorEastAsia" w:hAnsi="Calibri"/>
          <w:color w:val="000000"/>
        </w:rPr>
        <w:tab/>
      </w:r>
      <w:r w:rsidR="002E4985">
        <w:rPr>
          <w:rFonts w:ascii="Calibri" w:eastAsiaTheme="minorEastAsia" w:hAnsi="Calibri"/>
          <w:color w:val="000000"/>
        </w:rPr>
        <w:tab/>
      </w:r>
      <w:r w:rsidR="002E4985">
        <w:rPr>
          <w:rFonts w:ascii="Calibri" w:eastAsiaTheme="minorEastAsia" w:hAnsi="Calibri"/>
          <w:color w:val="000000"/>
        </w:rPr>
        <w:tab/>
      </w:r>
      <w:r w:rsidR="002E4985">
        <w:rPr>
          <w:rFonts w:ascii="Calibri" w:eastAsiaTheme="minorEastAsia" w:hAnsi="Calibri"/>
          <w:color w:val="000000"/>
        </w:rPr>
        <w:tab/>
        <w:t>(10)</w:t>
      </w:r>
    </w:p>
    <w:p w:rsidR="004F74E5" w:rsidRDefault="001C57C9" w:rsidP="00394A29">
      <w:pPr>
        <w:rPr>
          <w:rFonts w:ascii="Calibri" w:eastAsiaTheme="minorEastAsia" w:hAnsi="Calibri"/>
          <w:color w:val="000000"/>
        </w:rPr>
      </w:pPr>
      <w:r>
        <w:rPr>
          <w:rFonts w:ascii="Calibri" w:eastAsiaTheme="minorEastAsia" w:hAnsi="Calibri"/>
          <w:color w:val="000000"/>
        </w:rPr>
        <w:t>w</w:t>
      </w:r>
      <w:r w:rsidR="00FD3BF6">
        <w:rPr>
          <w:rFonts w:ascii="Calibri" w:eastAsiaTheme="minorEastAsia" w:hAnsi="Calibri"/>
          <w:color w:val="000000"/>
        </w:rPr>
        <w:t xml:space="preserve">here </w:t>
      </w:r>
      <m:oMath>
        <m:sSub>
          <m:sSubPr>
            <m:ctrlPr>
              <w:rPr>
                <w:rFonts w:ascii="Cambria Math" w:eastAsiaTheme="minorEastAsia" w:hAnsi="Cambria Math"/>
                <w:i/>
                <w:color w:val="000000"/>
              </w:rPr>
            </m:ctrlPr>
          </m:sSubPr>
          <m:e>
            <m:acc>
              <m:accPr>
                <m:chr m:val="̅"/>
                <m:ctrlPr>
                  <w:rPr>
                    <w:rFonts w:ascii="Cambria Math" w:eastAsiaTheme="minorEastAsia" w:hAnsi="Cambria Math"/>
                    <w:i/>
                    <w:color w:val="000000"/>
                  </w:rPr>
                </m:ctrlPr>
              </m:accPr>
              <m:e>
                <m:r>
                  <w:rPr>
                    <w:rFonts w:ascii="Cambria Math" w:eastAsiaTheme="minorEastAsia" w:hAnsi="Cambria Math"/>
                    <w:color w:val="000000"/>
                  </w:rPr>
                  <m:t>r</m:t>
                </m:r>
              </m:e>
            </m:acc>
          </m:e>
          <m:sub>
            <m:r>
              <w:rPr>
                <w:rFonts w:ascii="Cambria Math" w:eastAsiaTheme="minorEastAsia" w:hAnsi="Cambria Math"/>
                <w:color w:val="000000"/>
              </w:rPr>
              <m:t>t</m:t>
            </m:r>
          </m:sub>
        </m:sSub>
        <m:r>
          <w:rPr>
            <w:rFonts w:ascii="Cambria Math" w:eastAsiaTheme="minorEastAsia" w:hAnsi="Cambria Math"/>
            <w:color w:val="000000"/>
          </w:rPr>
          <m:t xml:space="preserve"> </m:t>
        </m:r>
      </m:oMath>
      <w:r w:rsidR="00346078">
        <w:rPr>
          <w:rFonts w:ascii="Calibri" w:eastAsiaTheme="minorEastAsia" w:hAnsi="Calibri"/>
          <w:color w:val="000000"/>
        </w:rPr>
        <w:t>is</w:t>
      </w:r>
      <w:r w:rsidR="00FD3BF6">
        <w:rPr>
          <w:rFonts w:ascii="Calibri" w:eastAsiaTheme="minorEastAsia" w:hAnsi="Calibri"/>
          <w:color w:val="000000"/>
        </w:rPr>
        <w:t xml:space="preserve"> the average daily return and </w:t>
      </w:r>
      <w:r w:rsidR="00E1141E" w:rsidRPr="00E1141E">
        <w:rPr>
          <w:rFonts w:ascii="Calibri" w:eastAsiaTheme="minorEastAsia" w:hAnsi="Calibri"/>
          <w:i/>
          <w:color w:val="000000"/>
        </w:rPr>
        <w:t>T</w:t>
      </w:r>
      <w:r w:rsidR="00FD3BF6">
        <w:rPr>
          <w:rFonts w:ascii="Calibri" w:eastAsiaTheme="minorEastAsia" w:hAnsi="Calibri"/>
          <w:color w:val="000000"/>
        </w:rPr>
        <w:t xml:space="preserve"> is the number of trading days. </w:t>
      </w:r>
      <w:r w:rsidR="00346078">
        <w:rPr>
          <w:rFonts w:ascii="Calibri" w:eastAsiaTheme="minorEastAsia" w:hAnsi="Calibri"/>
          <w:color w:val="000000"/>
        </w:rPr>
        <w:t xml:space="preserve"> </w:t>
      </w:r>
      <w:r w:rsidR="00FD3BF6">
        <w:rPr>
          <w:rFonts w:ascii="Calibri" w:eastAsiaTheme="minorEastAsia" w:hAnsi="Calibri"/>
          <w:color w:val="000000"/>
        </w:rPr>
        <w:t>It is</w:t>
      </w:r>
      <w:r w:rsidR="004F74E5">
        <w:rPr>
          <w:rFonts w:ascii="Calibri" w:eastAsiaTheme="minorEastAsia" w:hAnsi="Calibri"/>
          <w:color w:val="000000"/>
        </w:rPr>
        <w:t xml:space="preserve"> quite a </w:t>
      </w:r>
      <w:r w:rsidR="00346078">
        <w:rPr>
          <w:rFonts w:ascii="Calibri" w:eastAsiaTheme="minorEastAsia" w:hAnsi="Calibri"/>
          <w:color w:val="000000"/>
        </w:rPr>
        <w:t>daunting task to arrive at the</w:t>
      </w:r>
      <w:r w:rsidR="004F74E5">
        <w:rPr>
          <w:rFonts w:ascii="Calibri" w:eastAsiaTheme="minorEastAsia" w:hAnsi="Calibri"/>
          <w:color w:val="000000"/>
        </w:rPr>
        <w:t xml:space="preserve"> ap</w:t>
      </w:r>
      <w:r w:rsidR="00346078">
        <w:rPr>
          <w:rFonts w:ascii="Calibri" w:eastAsiaTheme="minorEastAsia" w:hAnsi="Calibri"/>
          <w:color w:val="000000"/>
        </w:rPr>
        <w:t xml:space="preserve">propriate window size </w:t>
      </w:r>
      <w:r w:rsidR="00E1141E" w:rsidRPr="00E1141E">
        <w:rPr>
          <w:rFonts w:ascii="Calibri" w:eastAsiaTheme="minorEastAsia" w:hAnsi="Calibri"/>
          <w:i/>
          <w:color w:val="000000"/>
        </w:rPr>
        <w:t>N</w:t>
      </w:r>
      <w:r w:rsidR="00346078">
        <w:rPr>
          <w:rFonts w:ascii="Calibri" w:eastAsiaTheme="minorEastAsia" w:hAnsi="Calibri"/>
          <w:color w:val="000000"/>
        </w:rPr>
        <w:t xml:space="preserve"> because volatility change</w:t>
      </w:r>
      <w:r>
        <w:rPr>
          <w:rFonts w:ascii="Calibri" w:eastAsiaTheme="minorEastAsia" w:hAnsi="Calibri"/>
          <w:color w:val="000000"/>
        </w:rPr>
        <w:t>s</w:t>
      </w:r>
      <w:r w:rsidR="00346078">
        <w:rPr>
          <w:rFonts w:ascii="Calibri" w:eastAsiaTheme="minorEastAsia" w:hAnsi="Calibri"/>
          <w:color w:val="000000"/>
        </w:rPr>
        <w:t xml:space="preserve"> over time and more data may lead to more accuracy</w:t>
      </w:r>
      <w:r w:rsidR="00E3412B">
        <w:rPr>
          <w:rFonts w:ascii="Calibri" w:eastAsiaTheme="minorEastAsia" w:hAnsi="Calibri"/>
          <w:color w:val="000000"/>
        </w:rPr>
        <w:t xml:space="preserve">. Also, while more recent data </w:t>
      </w:r>
      <w:r>
        <w:rPr>
          <w:rFonts w:ascii="Calibri" w:eastAsiaTheme="minorEastAsia" w:hAnsi="Calibri"/>
          <w:color w:val="000000"/>
        </w:rPr>
        <w:t xml:space="preserve">are </w:t>
      </w:r>
      <w:r w:rsidR="00E3412B">
        <w:rPr>
          <w:rFonts w:ascii="Calibri" w:eastAsiaTheme="minorEastAsia" w:hAnsi="Calibri"/>
          <w:color w:val="000000"/>
        </w:rPr>
        <w:t xml:space="preserve">more relevant for </w:t>
      </w:r>
      <w:r w:rsidR="00FD3BF6">
        <w:rPr>
          <w:rFonts w:ascii="Calibri" w:eastAsiaTheme="minorEastAsia" w:hAnsi="Calibri"/>
          <w:color w:val="000000"/>
        </w:rPr>
        <w:t xml:space="preserve">measuring volatility, the </w:t>
      </w:r>
      <w:r>
        <w:rPr>
          <w:rFonts w:ascii="Calibri" w:eastAsiaTheme="minorEastAsia" w:hAnsi="Calibri"/>
          <w:color w:val="000000"/>
        </w:rPr>
        <w:t xml:space="preserve">deeper </w:t>
      </w:r>
      <w:r w:rsidR="00FD3BF6">
        <w:rPr>
          <w:rFonts w:ascii="Calibri" w:eastAsiaTheme="minorEastAsia" w:hAnsi="Calibri"/>
          <w:color w:val="000000"/>
        </w:rPr>
        <w:t>we dig</w:t>
      </w:r>
      <w:r w:rsidR="00E3412B">
        <w:rPr>
          <w:rFonts w:ascii="Calibri" w:eastAsiaTheme="minorEastAsia" w:hAnsi="Calibri"/>
          <w:color w:val="000000"/>
        </w:rPr>
        <w:t xml:space="preserve"> into the past</w:t>
      </w:r>
      <w:r>
        <w:rPr>
          <w:rFonts w:ascii="Calibri" w:eastAsiaTheme="minorEastAsia" w:hAnsi="Calibri"/>
          <w:color w:val="000000"/>
        </w:rPr>
        <w:t>,</w:t>
      </w:r>
      <w:r w:rsidR="00346078">
        <w:rPr>
          <w:rFonts w:ascii="Calibri" w:eastAsiaTheme="minorEastAsia" w:hAnsi="Calibri"/>
          <w:color w:val="000000"/>
        </w:rPr>
        <w:t xml:space="preserve"> </w:t>
      </w:r>
      <w:r w:rsidR="00E3412B">
        <w:rPr>
          <w:rFonts w:ascii="Calibri" w:eastAsiaTheme="minorEastAsia" w:hAnsi="Calibri"/>
          <w:color w:val="000000"/>
        </w:rPr>
        <w:t xml:space="preserve">the </w:t>
      </w:r>
      <w:r w:rsidR="00FD3BF6">
        <w:rPr>
          <w:rFonts w:ascii="Calibri" w:eastAsiaTheme="minorEastAsia" w:hAnsi="Calibri"/>
          <w:color w:val="000000"/>
        </w:rPr>
        <w:t xml:space="preserve">less accurate the measure is for forecasting. </w:t>
      </w:r>
      <w:r>
        <w:rPr>
          <w:rFonts w:ascii="Calibri" w:eastAsiaTheme="minorEastAsia" w:hAnsi="Calibri"/>
          <w:color w:val="000000"/>
        </w:rPr>
        <w:t xml:space="preserve">For this reason, </w:t>
      </w:r>
      <w:r w:rsidR="00FD3BF6">
        <w:rPr>
          <w:rFonts w:ascii="Calibri" w:eastAsiaTheme="minorEastAsia" w:hAnsi="Calibri"/>
          <w:color w:val="000000"/>
        </w:rPr>
        <w:t>we explore windows of 10 and 50 days</w:t>
      </w:r>
      <w:r w:rsidR="004F74E5">
        <w:rPr>
          <w:rFonts w:ascii="Calibri" w:eastAsiaTheme="minorEastAsia" w:hAnsi="Calibri"/>
          <w:color w:val="000000"/>
        </w:rPr>
        <w:t xml:space="preserve"> to </w:t>
      </w:r>
      <w:r>
        <w:rPr>
          <w:rFonts w:ascii="Calibri" w:eastAsiaTheme="minorEastAsia" w:hAnsi="Calibri"/>
          <w:color w:val="000000"/>
        </w:rPr>
        <w:t xml:space="preserve">represent, </w:t>
      </w:r>
      <w:r w:rsidR="004F74E5">
        <w:rPr>
          <w:rFonts w:ascii="Calibri" w:eastAsiaTheme="minorEastAsia" w:hAnsi="Calibri"/>
          <w:color w:val="000000"/>
        </w:rPr>
        <w:t>respectively</w:t>
      </w:r>
      <w:r>
        <w:rPr>
          <w:rFonts w:ascii="Calibri" w:eastAsiaTheme="minorEastAsia" w:hAnsi="Calibri"/>
          <w:color w:val="000000"/>
        </w:rPr>
        <w:t>,</w:t>
      </w:r>
      <w:r w:rsidR="004F74E5">
        <w:rPr>
          <w:rFonts w:ascii="Calibri" w:eastAsiaTheme="minorEastAsia" w:hAnsi="Calibri"/>
          <w:color w:val="000000"/>
        </w:rPr>
        <w:t xml:space="preserve"> as close as possible to the period used by most traders and </w:t>
      </w:r>
      <w:r>
        <w:rPr>
          <w:rFonts w:ascii="Calibri" w:eastAsiaTheme="minorEastAsia" w:hAnsi="Calibri"/>
          <w:color w:val="000000"/>
        </w:rPr>
        <w:t>slight distance</w:t>
      </w:r>
      <w:r w:rsidR="004F74E5">
        <w:rPr>
          <w:rFonts w:ascii="Calibri" w:eastAsiaTheme="minorEastAsia" w:hAnsi="Calibri"/>
          <w:color w:val="000000"/>
        </w:rPr>
        <w:t xml:space="preserve"> into the past. </w:t>
      </w:r>
      <w:r w:rsidR="006F5B6C">
        <w:rPr>
          <w:rFonts w:ascii="Calibri" w:eastAsiaTheme="minorEastAsia" w:hAnsi="Calibri"/>
          <w:color w:val="000000"/>
        </w:rPr>
        <w:t>There are two shortcomings in using historical instead of GARCH-based dynamic volatility. The first is that historical volatility is indifferent to fluctuations in the series</w:t>
      </w:r>
      <w:r w:rsidR="005145D0">
        <w:rPr>
          <w:rFonts w:ascii="Calibri" w:eastAsiaTheme="minorEastAsia" w:hAnsi="Calibri"/>
          <w:color w:val="000000"/>
        </w:rPr>
        <w:t>; for example, continuous increase</w:t>
      </w:r>
      <w:r>
        <w:rPr>
          <w:rFonts w:ascii="Calibri" w:eastAsiaTheme="minorEastAsia" w:hAnsi="Calibri"/>
          <w:color w:val="000000"/>
        </w:rPr>
        <w:t>s</w:t>
      </w:r>
      <w:r w:rsidR="005145D0">
        <w:rPr>
          <w:rFonts w:ascii="Calibri" w:eastAsiaTheme="minorEastAsia" w:hAnsi="Calibri"/>
          <w:color w:val="000000"/>
        </w:rPr>
        <w:t xml:space="preserve"> in a stock price can create high volatility on the upside that investors may not be concerned about</w:t>
      </w:r>
      <w:r w:rsidR="006F5B6C">
        <w:rPr>
          <w:rFonts w:ascii="Calibri" w:eastAsiaTheme="minorEastAsia" w:hAnsi="Calibri"/>
          <w:color w:val="000000"/>
        </w:rPr>
        <w:t xml:space="preserve">. The second disadvantage is that it assigns equal weights to all </w:t>
      </w:r>
      <w:r w:rsidR="005145D0">
        <w:rPr>
          <w:rFonts w:ascii="Calibri" w:eastAsiaTheme="minorEastAsia" w:hAnsi="Calibri"/>
          <w:color w:val="000000"/>
        </w:rPr>
        <w:t xml:space="preserve">daily </w:t>
      </w:r>
      <w:r w:rsidR="006F5B6C">
        <w:rPr>
          <w:rFonts w:ascii="Calibri" w:eastAsiaTheme="minorEastAsia" w:hAnsi="Calibri"/>
          <w:color w:val="000000"/>
        </w:rPr>
        <w:t>returns</w:t>
      </w:r>
      <w:r w:rsidR="005145D0">
        <w:rPr>
          <w:rFonts w:ascii="Calibri" w:eastAsiaTheme="minorEastAsia" w:hAnsi="Calibri"/>
          <w:color w:val="000000"/>
        </w:rPr>
        <w:t xml:space="preserve"> whether the return is for recent time</w:t>
      </w:r>
      <w:r>
        <w:rPr>
          <w:rFonts w:ascii="Calibri" w:eastAsiaTheme="minorEastAsia" w:hAnsi="Calibri"/>
          <w:color w:val="000000"/>
        </w:rPr>
        <w:t>s</w:t>
      </w:r>
      <w:r w:rsidR="005145D0">
        <w:rPr>
          <w:rFonts w:ascii="Calibri" w:eastAsiaTheme="minorEastAsia" w:hAnsi="Calibri"/>
          <w:color w:val="000000"/>
        </w:rPr>
        <w:t xml:space="preserve"> or from deep in the past. Despite these weaknesses, </w:t>
      </w:r>
      <w:r w:rsidR="00DF2664">
        <w:rPr>
          <w:rFonts w:ascii="Calibri" w:eastAsiaTheme="minorEastAsia" w:hAnsi="Calibri"/>
          <w:color w:val="000000"/>
        </w:rPr>
        <w:t xml:space="preserve">historical volatility is </w:t>
      </w:r>
      <w:r>
        <w:rPr>
          <w:rFonts w:ascii="Calibri" w:eastAsiaTheme="minorEastAsia" w:hAnsi="Calibri"/>
          <w:color w:val="000000"/>
        </w:rPr>
        <w:t xml:space="preserve">one of </w:t>
      </w:r>
      <w:r w:rsidR="00DF2664">
        <w:rPr>
          <w:rFonts w:ascii="Calibri" w:eastAsiaTheme="minorEastAsia" w:hAnsi="Calibri"/>
          <w:color w:val="000000"/>
        </w:rPr>
        <w:t>the most used measure</w:t>
      </w:r>
      <w:r>
        <w:rPr>
          <w:rFonts w:ascii="Calibri" w:eastAsiaTheme="minorEastAsia" w:hAnsi="Calibri"/>
          <w:color w:val="000000"/>
        </w:rPr>
        <w:t>s</w:t>
      </w:r>
      <w:r w:rsidR="00DF2664">
        <w:rPr>
          <w:rFonts w:ascii="Calibri" w:eastAsiaTheme="minorEastAsia" w:hAnsi="Calibri"/>
          <w:color w:val="000000"/>
        </w:rPr>
        <w:t xml:space="preserve"> of volatility due to its simplicity and the fact that it does not impinge on the estimation of a parametric model (Pindyck, 2004). </w:t>
      </w:r>
      <w:r w:rsidR="00784528">
        <w:rPr>
          <w:rFonts w:ascii="Calibri" w:eastAsiaTheme="minorEastAsia" w:hAnsi="Calibri"/>
          <w:color w:val="000000"/>
        </w:rPr>
        <w:t xml:space="preserve">A debate is still ongoing as to whether </w:t>
      </w:r>
      <w:r w:rsidR="003C0D65">
        <w:rPr>
          <w:rFonts w:ascii="Calibri" w:eastAsiaTheme="minorEastAsia" w:hAnsi="Calibri"/>
          <w:color w:val="000000"/>
        </w:rPr>
        <w:t xml:space="preserve">volatility based on </w:t>
      </w:r>
      <w:r w:rsidR="00784528">
        <w:rPr>
          <w:rFonts w:ascii="Calibri" w:eastAsiaTheme="minorEastAsia" w:hAnsi="Calibri"/>
          <w:color w:val="000000"/>
        </w:rPr>
        <w:t>ARCH models provide</w:t>
      </w:r>
      <w:r>
        <w:rPr>
          <w:rFonts w:ascii="Calibri" w:eastAsiaTheme="minorEastAsia" w:hAnsi="Calibri"/>
          <w:color w:val="000000"/>
        </w:rPr>
        <w:t>s</w:t>
      </w:r>
      <w:r w:rsidR="00784528">
        <w:rPr>
          <w:rFonts w:ascii="Calibri" w:eastAsiaTheme="minorEastAsia" w:hAnsi="Calibri"/>
          <w:color w:val="000000"/>
        </w:rPr>
        <w:t xml:space="preserve"> forecast</w:t>
      </w:r>
      <w:r>
        <w:rPr>
          <w:rFonts w:ascii="Calibri" w:eastAsiaTheme="minorEastAsia" w:hAnsi="Calibri"/>
          <w:color w:val="000000"/>
        </w:rPr>
        <w:t>s that are</w:t>
      </w:r>
      <w:r w:rsidR="00784528">
        <w:rPr>
          <w:rFonts w:ascii="Calibri" w:eastAsiaTheme="minorEastAsia" w:hAnsi="Calibri"/>
          <w:color w:val="000000"/>
        </w:rPr>
        <w:t xml:space="preserve"> superior to </w:t>
      </w:r>
      <w:r w:rsidR="003C0D65">
        <w:rPr>
          <w:rFonts w:ascii="Calibri" w:eastAsiaTheme="minorEastAsia" w:hAnsi="Calibri"/>
          <w:color w:val="000000"/>
        </w:rPr>
        <w:t xml:space="preserve">volatility based on </w:t>
      </w:r>
      <w:r w:rsidR="00784528">
        <w:rPr>
          <w:rFonts w:ascii="Calibri" w:eastAsiaTheme="minorEastAsia" w:hAnsi="Calibri"/>
          <w:color w:val="000000"/>
        </w:rPr>
        <w:t>the simple standard deviation (</w:t>
      </w:r>
      <w:r w:rsidR="00CC2B6F">
        <w:rPr>
          <w:rFonts w:ascii="Calibri" w:eastAsiaTheme="minorEastAsia" w:hAnsi="Calibri"/>
          <w:color w:val="000000"/>
        </w:rPr>
        <w:t>Suganuma, 2000; Andersen and Bollerslev, 1998</w:t>
      </w:r>
      <w:r w:rsidR="00D1469B">
        <w:rPr>
          <w:rFonts w:ascii="Calibri" w:eastAsiaTheme="minorEastAsia" w:hAnsi="Calibri"/>
          <w:color w:val="000000"/>
        </w:rPr>
        <w:t>; Cumby</w:t>
      </w:r>
      <w:r w:rsidR="0086229D">
        <w:t xml:space="preserve"> </w:t>
      </w:r>
      <w:r w:rsidR="00E1141E" w:rsidRPr="00E1141E">
        <w:rPr>
          <w:i/>
        </w:rPr>
        <w:t>et al.</w:t>
      </w:r>
      <w:r>
        <w:t>,</w:t>
      </w:r>
      <w:r w:rsidR="00CC2B6F">
        <w:t xml:space="preserve"> 1993)</w:t>
      </w:r>
      <w:r w:rsidR="003C0D65">
        <w:t>.</w:t>
      </w:r>
      <w:r w:rsidR="003C0D65">
        <w:rPr>
          <w:rStyle w:val="FootnoteReference"/>
        </w:rPr>
        <w:footnoteReference w:id="14"/>
      </w:r>
      <w:r w:rsidR="003C0D65">
        <w:t xml:space="preserve"> </w:t>
      </w:r>
      <w:r w:rsidR="005145D0">
        <w:rPr>
          <w:rFonts w:ascii="Calibri" w:eastAsiaTheme="minorEastAsia" w:hAnsi="Calibri"/>
          <w:color w:val="000000"/>
        </w:rPr>
        <w:t xml:space="preserve"> </w:t>
      </w:r>
    </w:p>
    <w:p w:rsidR="00AE3CA7" w:rsidRDefault="00B35598" w:rsidP="00394A29">
      <w:pPr>
        <w:rPr>
          <w:rFonts w:ascii="Calibri" w:eastAsiaTheme="minorEastAsia" w:hAnsi="Calibri"/>
          <w:color w:val="000000"/>
        </w:rPr>
      </w:pPr>
      <w:r>
        <w:rPr>
          <w:rFonts w:ascii="Calibri" w:eastAsiaTheme="minorEastAsia" w:hAnsi="Calibri"/>
          <w:color w:val="000000"/>
        </w:rPr>
        <w:lastRenderedPageBreak/>
        <w:t>The descriptive statistics not reported here show that the average daily return in perce</w:t>
      </w:r>
      <w:r w:rsidR="00DA52F7">
        <w:rPr>
          <w:rFonts w:ascii="Calibri" w:eastAsiaTheme="minorEastAsia" w:hAnsi="Calibri"/>
          <w:color w:val="000000"/>
        </w:rPr>
        <w:t xml:space="preserve">ntage terms varies </w:t>
      </w:r>
      <w:r w:rsidR="00AE3CA7">
        <w:rPr>
          <w:rFonts w:ascii="Calibri" w:eastAsiaTheme="minorEastAsia" w:hAnsi="Calibri"/>
          <w:color w:val="000000"/>
        </w:rPr>
        <w:t>as shown below:</w:t>
      </w:r>
    </w:p>
    <w:p w:rsidR="00C95ED6" w:rsidRDefault="00E1141E">
      <w:pPr>
        <w:pStyle w:val="ListParagraph"/>
        <w:numPr>
          <w:ilvl w:val="0"/>
          <w:numId w:val="3"/>
        </w:numPr>
        <w:rPr>
          <w:rFonts w:ascii="Calibri" w:eastAsiaTheme="minorEastAsia" w:hAnsi="Calibri"/>
          <w:color w:val="000000"/>
        </w:rPr>
      </w:pPr>
      <w:r w:rsidRPr="00E1141E">
        <w:rPr>
          <w:rFonts w:ascii="Calibri" w:eastAsiaTheme="minorEastAsia" w:hAnsi="Calibri"/>
          <w:color w:val="000000"/>
        </w:rPr>
        <w:t xml:space="preserve">from -0.02 (investment) to 0.05 (hotel and tourism) for Bahrain, </w:t>
      </w:r>
    </w:p>
    <w:p w:rsidR="00C95ED6" w:rsidRDefault="00E1141E">
      <w:pPr>
        <w:pStyle w:val="ListParagraph"/>
        <w:numPr>
          <w:ilvl w:val="0"/>
          <w:numId w:val="3"/>
        </w:numPr>
        <w:rPr>
          <w:rFonts w:ascii="Calibri" w:eastAsiaTheme="minorEastAsia" w:hAnsi="Calibri"/>
          <w:color w:val="000000"/>
        </w:rPr>
      </w:pPr>
      <w:r w:rsidRPr="00E1141E">
        <w:rPr>
          <w:rFonts w:ascii="Calibri" w:eastAsiaTheme="minorEastAsia" w:hAnsi="Calibri"/>
          <w:color w:val="000000"/>
        </w:rPr>
        <w:t xml:space="preserve">from -0.05 (investment) to 0.05 (banking) for Kuwait, </w:t>
      </w:r>
    </w:p>
    <w:p w:rsidR="00C95ED6" w:rsidRDefault="00E1141E">
      <w:pPr>
        <w:pStyle w:val="ListParagraph"/>
        <w:numPr>
          <w:ilvl w:val="0"/>
          <w:numId w:val="3"/>
        </w:numPr>
        <w:rPr>
          <w:rFonts w:ascii="Calibri" w:eastAsiaTheme="minorEastAsia" w:hAnsi="Calibri"/>
          <w:color w:val="000000"/>
        </w:rPr>
      </w:pPr>
      <w:r w:rsidRPr="00E1141E">
        <w:rPr>
          <w:rFonts w:ascii="Calibri" w:eastAsiaTheme="minorEastAsia" w:hAnsi="Calibri"/>
          <w:color w:val="000000"/>
        </w:rPr>
        <w:t xml:space="preserve">from 0.0045 (banking and investment) to 0.04 (industry) for Oman, </w:t>
      </w:r>
    </w:p>
    <w:p w:rsidR="00C95ED6" w:rsidRDefault="00E1141E">
      <w:pPr>
        <w:pStyle w:val="ListParagraph"/>
        <w:numPr>
          <w:ilvl w:val="0"/>
          <w:numId w:val="3"/>
        </w:numPr>
        <w:rPr>
          <w:rFonts w:ascii="Calibri" w:eastAsiaTheme="minorEastAsia" w:hAnsi="Calibri"/>
          <w:color w:val="000000"/>
        </w:rPr>
      </w:pPr>
      <w:r w:rsidRPr="00E1141E">
        <w:rPr>
          <w:rFonts w:ascii="Calibri" w:eastAsiaTheme="minorEastAsia" w:hAnsi="Calibri"/>
          <w:color w:val="000000"/>
        </w:rPr>
        <w:t xml:space="preserve">from -0.024 (services) to -0.0032 (banking and finance) for Qatar, </w:t>
      </w:r>
    </w:p>
    <w:p w:rsidR="00C95ED6" w:rsidRDefault="00E1141E">
      <w:pPr>
        <w:pStyle w:val="ListParagraph"/>
        <w:numPr>
          <w:ilvl w:val="0"/>
          <w:numId w:val="3"/>
        </w:numPr>
        <w:rPr>
          <w:rFonts w:ascii="Calibri" w:eastAsiaTheme="minorEastAsia" w:hAnsi="Calibri"/>
          <w:color w:val="000000"/>
        </w:rPr>
      </w:pPr>
      <w:r w:rsidRPr="00E1141E">
        <w:rPr>
          <w:rFonts w:ascii="Calibri" w:eastAsiaTheme="minorEastAsia" w:hAnsi="Calibri"/>
          <w:color w:val="000000"/>
        </w:rPr>
        <w:t xml:space="preserve">from -0.11 (media and publishing) to 0.02 (petrochemical) for Saudi Arabia, </w:t>
      </w:r>
    </w:p>
    <w:p w:rsidR="00C95ED6" w:rsidRDefault="00E1141E">
      <w:pPr>
        <w:pStyle w:val="ListParagraph"/>
        <w:numPr>
          <w:ilvl w:val="0"/>
          <w:numId w:val="3"/>
        </w:numPr>
        <w:rPr>
          <w:rFonts w:ascii="Calibri" w:eastAsiaTheme="minorEastAsia" w:hAnsi="Calibri"/>
          <w:color w:val="000000"/>
        </w:rPr>
      </w:pPr>
      <w:r w:rsidRPr="00E1141E">
        <w:rPr>
          <w:rFonts w:ascii="Calibri" w:eastAsiaTheme="minorEastAsia" w:hAnsi="Calibri"/>
          <w:color w:val="000000"/>
        </w:rPr>
        <w:t xml:space="preserve">from -0.12 (real estate) to 0.03 (industry) for UAE–Abu Dhabi, </w:t>
      </w:r>
    </w:p>
    <w:p w:rsidR="00C95ED6" w:rsidRDefault="00E1141E">
      <w:pPr>
        <w:pStyle w:val="ListParagraph"/>
        <w:numPr>
          <w:ilvl w:val="0"/>
          <w:numId w:val="3"/>
        </w:numPr>
        <w:rPr>
          <w:rFonts w:ascii="Calibri" w:eastAsiaTheme="minorEastAsia" w:hAnsi="Calibri"/>
          <w:color w:val="000000"/>
        </w:rPr>
      </w:pPr>
      <w:r w:rsidRPr="00E1141E">
        <w:rPr>
          <w:rFonts w:ascii="Calibri" w:eastAsiaTheme="minorEastAsia" w:hAnsi="Calibri"/>
          <w:color w:val="000000"/>
        </w:rPr>
        <w:t xml:space="preserve">from -0.22 (utilities) to -0.03 (transportation) for UAE–Dubai. </w:t>
      </w:r>
    </w:p>
    <w:p w:rsidR="004F74E5" w:rsidRDefault="00420319" w:rsidP="00394A29">
      <w:pPr>
        <w:rPr>
          <w:rFonts w:ascii="Calibri" w:eastAsiaTheme="minorEastAsia" w:hAnsi="Calibri"/>
          <w:color w:val="000000"/>
        </w:rPr>
      </w:pPr>
      <w:r>
        <w:rPr>
          <w:rFonts w:ascii="Calibri" w:eastAsiaTheme="minorEastAsia" w:hAnsi="Calibri"/>
          <w:color w:val="000000"/>
        </w:rPr>
        <w:t>In comparison to an average daily return on crude oil of 0.03%</w:t>
      </w:r>
      <w:r w:rsidR="00670D45">
        <w:rPr>
          <w:rFonts w:ascii="Calibri" w:eastAsiaTheme="minorEastAsia" w:hAnsi="Calibri"/>
          <w:color w:val="000000"/>
        </w:rPr>
        <w:t xml:space="preserve"> over the different samples in Table 1</w:t>
      </w:r>
      <w:r>
        <w:rPr>
          <w:rFonts w:ascii="Calibri" w:eastAsiaTheme="minorEastAsia" w:hAnsi="Calibri"/>
          <w:color w:val="000000"/>
        </w:rPr>
        <w:t xml:space="preserve">, the data suggest that </w:t>
      </w:r>
      <w:r w:rsidR="00670D45">
        <w:rPr>
          <w:rFonts w:ascii="Calibri" w:eastAsiaTheme="minorEastAsia" w:hAnsi="Calibri"/>
          <w:color w:val="000000"/>
        </w:rPr>
        <w:t xml:space="preserve">only </w:t>
      </w:r>
      <w:r w:rsidR="00DA52F7">
        <w:rPr>
          <w:rFonts w:ascii="Calibri" w:eastAsiaTheme="minorEastAsia" w:hAnsi="Calibri"/>
          <w:color w:val="000000"/>
        </w:rPr>
        <w:t>investment</w:t>
      </w:r>
      <w:r w:rsidR="00AE3CA7">
        <w:rPr>
          <w:rFonts w:ascii="Calibri" w:eastAsiaTheme="minorEastAsia" w:hAnsi="Calibri"/>
          <w:color w:val="000000"/>
        </w:rPr>
        <w:t>s</w:t>
      </w:r>
      <w:r w:rsidR="00DA52F7">
        <w:rPr>
          <w:rFonts w:ascii="Calibri" w:eastAsiaTheme="minorEastAsia" w:hAnsi="Calibri"/>
          <w:color w:val="000000"/>
        </w:rPr>
        <w:t xml:space="preserve"> in h</w:t>
      </w:r>
      <w:r>
        <w:rPr>
          <w:rFonts w:ascii="Calibri" w:eastAsiaTheme="minorEastAsia" w:hAnsi="Calibri"/>
          <w:color w:val="000000"/>
        </w:rPr>
        <w:t xml:space="preserve">otel and </w:t>
      </w:r>
      <w:r w:rsidR="00DA52F7">
        <w:rPr>
          <w:rFonts w:ascii="Calibri" w:eastAsiaTheme="minorEastAsia" w:hAnsi="Calibri"/>
          <w:color w:val="000000"/>
        </w:rPr>
        <w:t>t</w:t>
      </w:r>
      <w:r w:rsidR="00670D45">
        <w:rPr>
          <w:rFonts w:ascii="Calibri" w:eastAsiaTheme="minorEastAsia" w:hAnsi="Calibri"/>
          <w:color w:val="000000"/>
        </w:rPr>
        <w:t>ourism stocks in Bahrain</w:t>
      </w:r>
      <w:r w:rsidR="00DA52F7">
        <w:rPr>
          <w:rFonts w:ascii="Calibri" w:eastAsiaTheme="minorEastAsia" w:hAnsi="Calibri"/>
          <w:color w:val="000000"/>
        </w:rPr>
        <w:t>, banks in Kuwait and i</w:t>
      </w:r>
      <w:r w:rsidR="00670D45">
        <w:rPr>
          <w:rFonts w:ascii="Calibri" w:eastAsiaTheme="minorEastAsia" w:hAnsi="Calibri"/>
          <w:color w:val="000000"/>
        </w:rPr>
        <w:t>ndustry in Oman</w:t>
      </w:r>
      <w:r w:rsidR="00CB5DF9">
        <w:rPr>
          <w:rFonts w:ascii="Calibri" w:eastAsiaTheme="minorEastAsia" w:hAnsi="Calibri"/>
          <w:color w:val="000000"/>
        </w:rPr>
        <w:t xml:space="preserve"> were more profitable than the crude oil market, whereas investment in industry stock</w:t>
      </w:r>
      <w:r w:rsidR="002A7B3E">
        <w:rPr>
          <w:rFonts w:ascii="Calibri" w:eastAsiaTheme="minorEastAsia" w:hAnsi="Calibri"/>
          <w:color w:val="000000"/>
        </w:rPr>
        <w:t>s</w:t>
      </w:r>
      <w:r w:rsidR="00CB5DF9">
        <w:rPr>
          <w:rFonts w:ascii="Calibri" w:eastAsiaTheme="minorEastAsia" w:hAnsi="Calibri"/>
          <w:color w:val="000000"/>
        </w:rPr>
        <w:t xml:space="preserve"> in UAE</w:t>
      </w:r>
      <w:r w:rsidR="00AE3CA7">
        <w:rPr>
          <w:rFonts w:ascii="Calibri" w:eastAsiaTheme="minorEastAsia" w:hAnsi="Calibri"/>
          <w:color w:val="000000"/>
        </w:rPr>
        <w:t>–</w:t>
      </w:r>
      <w:r w:rsidR="00CB5DF9">
        <w:rPr>
          <w:rFonts w:ascii="Calibri" w:eastAsiaTheme="minorEastAsia" w:hAnsi="Calibri"/>
          <w:color w:val="000000"/>
        </w:rPr>
        <w:t xml:space="preserve">Abu Dhabi was as good as investment in crude oil. Hence, a portfolio made of these stocks </w:t>
      </w:r>
      <w:r w:rsidR="00AE3CA7">
        <w:rPr>
          <w:rFonts w:ascii="Calibri" w:eastAsiaTheme="minorEastAsia" w:hAnsi="Calibri"/>
          <w:color w:val="000000"/>
        </w:rPr>
        <w:t xml:space="preserve">would be </w:t>
      </w:r>
      <w:r w:rsidR="00CB5DF9">
        <w:rPr>
          <w:rFonts w:ascii="Calibri" w:eastAsiaTheme="minorEastAsia" w:hAnsi="Calibri"/>
          <w:color w:val="000000"/>
        </w:rPr>
        <w:t>more desirable than any other GCC portfolio of similar risk levels.</w:t>
      </w:r>
      <w:r w:rsidR="005C48DA">
        <w:rPr>
          <w:rFonts w:ascii="Calibri" w:eastAsiaTheme="minorEastAsia" w:hAnsi="Calibri"/>
          <w:color w:val="000000"/>
        </w:rPr>
        <w:t xml:space="preserve"> This finding is good news for the typical risk-averse GCC investor who can freely participate in these markets.</w:t>
      </w:r>
    </w:p>
    <w:p w:rsidR="00AE3CA7" w:rsidRDefault="005C48DA" w:rsidP="00394A29">
      <w:pPr>
        <w:rPr>
          <w:rStyle w:val="s3"/>
        </w:rPr>
      </w:pPr>
      <w:r>
        <w:rPr>
          <w:rStyle w:val="s3"/>
        </w:rPr>
        <w:t>It is customary in the literature to compare the standard deviation of different</w:t>
      </w:r>
      <w:r w:rsidR="005C2882">
        <w:rPr>
          <w:rStyle w:val="s3"/>
        </w:rPr>
        <w:t xml:space="preserve"> variables to determine the relative degree of volatility or risk. This measure ranges</w:t>
      </w:r>
      <w:r w:rsidR="00AE3CA7">
        <w:rPr>
          <w:rStyle w:val="s3"/>
        </w:rPr>
        <w:t>:</w:t>
      </w:r>
    </w:p>
    <w:p w:rsidR="00C95ED6" w:rsidRDefault="0094136B">
      <w:pPr>
        <w:pStyle w:val="ListParagraph"/>
        <w:numPr>
          <w:ilvl w:val="0"/>
          <w:numId w:val="4"/>
        </w:numPr>
        <w:rPr>
          <w:rStyle w:val="s3"/>
        </w:rPr>
      </w:pPr>
      <w:r>
        <w:rPr>
          <w:rStyle w:val="s3"/>
        </w:rPr>
        <w:t>from 0.60</w:t>
      </w:r>
      <w:r w:rsidR="00AE3CA7">
        <w:rPr>
          <w:rStyle w:val="s3"/>
        </w:rPr>
        <w:t>%</w:t>
      </w:r>
      <w:r>
        <w:rPr>
          <w:rStyle w:val="s3"/>
        </w:rPr>
        <w:t xml:space="preserve"> (industry) to 1.14</w:t>
      </w:r>
      <w:r w:rsidR="00AE3CA7">
        <w:rPr>
          <w:rStyle w:val="s3"/>
        </w:rPr>
        <w:t>%</w:t>
      </w:r>
      <w:r>
        <w:rPr>
          <w:rStyle w:val="s3"/>
        </w:rPr>
        <w:t xml:space="preserve"> (commercial banks) with hotel</w:t>
      </w:r>
      <w:r w:rsidR="00AE3CA7">
        <w:rPr>
          <w:rStyle w:val="s3"/>
        </w:rPr>
        <w:t>s</w:t>
      </w:r>
      <w:r>
        <w:rPr>
          <w:rStyle w:val="s3"/>
        </w:rPr>
        <w:t xml:space="preserve"> and t</w:t>
      </w:r>
      <w:r w:rsidR="005C2882">
        <w:rPr>
          <w:rStyle w:val="s3"/>
        </w:rPr>
        <w:t>ourism at 0.65</w:t>
      </w:r>
      <w:r w:rsidR="00AE3CA7">
        <w:rPr>
          <w:rStyle w:val="s3"/>
        </w:rPr>
        <w:t>%</w:t>
      </w:r>
      <w:r w:rsidR="005C2882">
        <w:rPr>
          <w:rStyle w:val="s3"/>
        </w:rPr>
        <w:t xml:space="preserve"> for Bahrain, </w:t>
      </w:r>
    </w:p>
    <w:p w:rsidR="00C95ED6" w:rsidRDefault="00AE3CA7">
      <w:pPr>
        <w:pStyle w:val="ListParagraph"/>
        <w:numPr>
          <w:ilvl w:val="0"/>
          <w:numId w:val="4"/>
        </w:numPr>
        <w:rPr>
          <w:rStyle w:val="s3"/>
        </w:rPr>
      </w:pPr>
      <w:r>
        <w:rPr>
          <w:rStyle w:val="s3"/>
        </w:rPr>
        <w:t xml:space="preserve">from </w:t>
      </w:r>
      <w:r w:rsidR="005C2882">
        <w:rPr>
          <w:rStyle w:val="s3"/>
        </w:rPr>
        <w:t>1.90</w:t>
      </w:r>
      <w:r>
        <w:rPr>
          <w:rStyle w:val="s3"/>
        </w:rPr>
        <w:t>%</w:t>
      </w:r>
      <w:r w:rsidR="00997BC0">
        <w:rPr>
          <w:rStyle w:val="s3"/>
        </w:rPr>
        <w:t xml:space="preserve"> (Kuwait</w:t>
      </w:r>
      <w:r>
        <w:rPr>
          <w:rStyle w:val="s3"/>
        </w:rPr>
        <w:t>i</w:t>
      </w:r>
      <w:r w:rsidR="00997BC0">
        <w:rPr>
          <w:rStyle w:val="s3"/>
        </w:rPr>
        <w:t xml:space="preserve"> </w:t>
      </w:r>
      <w:r>
        <w:rPr>
          <w:rStyle w:val="s3"/>
        </w:rPr>
        <w:t>c</w:t>
      </w:r>
      <w:r w:rsidR="00997BC0">
        <w:rPr>
          <w:rStyle w:val="s3"/>
        </w:rPr>
        <w:t>ompanies) to 13.72</w:t>
      </w:r>
      <w:r>
        <w:rPr>
          <w:rStyle w:val="s3"/>
        </w:rPr>
        <w:t>%</w:t>
      </w:r>
      <w:r w:rsidR="00997BC0">
        <w:rPr>
          <w:rStyle w:val="s3"/>
        </w:rPr>
        <w:t xml:space="preserve"> </w:t>
      </w:r>
      <w:r w:rsidR="0094136B">
        <w:rPr>
          <w:rStyle w:val="s3"/>
        </w:rPr>
        <w:t>(f</w:t>
      </w:r>
      <w:r w:rsidR="00DA52F7">
        <w:rPr>
          <w:rStyle w:val="s3"/>
        </w:rPr>
        <w:t xml:space="preserve">ood) with </w:t>
      </w:r>
      <w:r>
        <w:rPr>
          <w:rStyle w:val="s3"/>
        </w:rPr>
        <w:t>b</w:t>
      </w:r>
      <w:r w:rsidR="00DA52F7">
        <w:rPr>
          <w:rStyle w:val="s3"/>
        </w:rPr>
        <w:t xml:space="preserve">anks </w:t>
      </w:r>
      <w:r w:rsidR="00997BC0">
        <w:rPr>
          <w:rStyle w:val="s3"/>
        </w:rPr>
        <w:t xml:space="preserve">at </w:t>
      </w:r>
      <w:r w:rsidR="00DA52F7">
        <w:rPr>
          <w:rStyle w:val="s3"/>
        </w:rPr>
        <w:t>5.88</w:t>
      </w:r>
      <w:r>
        <w:rPr>
          <w:rStyle w:val="s3"/>
        </w:rPr>
        <w:t>%</w:t>
      </w:r>
      <w:r w:rsidR="00DA52F7">
        <w:rPr>
          <w:rStyle w:val="s3"/>
        </w:rPr>
        <w:t xml:space="preserve"> for Kuwait, </w:t>
      </w:r>
    </w:p>
    <w:p w:rsidR="00C95ED6" w:rsidRDefault="00AE3CA7">
      <w:pPr>
        <w:pStyle w:val="ListParagraph"/>
        <w:numPr>
          <w:ilvl w:val="0"/>
          <w:numId w:val="4"/>
        </w:numPr>
        <w:rPr>
          <w:rStyle w:val="s3"/>
        </w:rPr>
      </w:pPr>
      <w:r>
        <w:rPr>
          <w:rStyle w:val="s3"/>
        </w:rPr>
        <w:t xml:space="preserve">from </w:t>
      </w:r>
      <w:r w:rsidR="00DA52F7">
        <w:rPr>
          <w:rStyle w:val="s3"/>
        </w:rPr>
        <w:t>1.17</w:t>
      </w:r>
      <w:r>
        <w:rPr>
          <w:rStyle w:val="s3"/>
        </w:rPr>
        <w:t>%</w:t>
      </w:r>
      <w:r w:rsidR="00DA52F7">
        <w:rPr>
          <w:rStyle w:val="s3"/>
        </w:rPr>
        <w:t xml:space="preserve"> (services) to </w:t>
      </w:r>
      <w:r w:rsidR="00997BC0">
        <w:rPr>
          <w:rStyle w:val="s3"/>
        </w:rPr>
        <w:t>1.55</w:t>
      </w:r>
      <w:r>
        <w:rPr>
          <w:rStyle w:val="s3"/>
        </w:rPr>
        <w:t>%</w:t>
      </w:r>
      <w:r w:rsidR="00DA52F7">
        <w:rPr>
          <w:rStyle w:val="s3"/>
        </w:rPr>
        <w:t xml:space="preserve"> (industry) for Oman, </w:t>
      </w:r>
    </w:p>
    <w:p w:rsidR="00C95ED6" w:rsidRDefault="00AE3CA7">
      <w:pPr>
        <w:pStyle w:val="ListParagraph"/>
        <w:numPr>
          <w:ilvl w:val="0"/>
          <w:numId w:val="4"/>
        </w:numPr>
        <w:rPr>
          <w:rStyle w:val="s3"/>
        </w:rPr>
      </w:pPr>
      <w:r>
        <w:rPr>
          <w:rStyle w:val="s3"/>
        </w:rPr>
        <w:t xml:space="preserve">from </w:t>
      </w:r>
      <w:r w:rsidR="00DA52F7">
        <w:rPr>
          <w:rStyle w:val="s3"/>
        </w:rPr>
        <w:t>1.76</w:t>
      </w:r>
      <w:r>
        <w:rPr>
          <w:rStyle w:val="s3"/>
        </w:rPr>
        <w:t>%</w:t>
      </w:r>
      <w:r w:rsidR="00DA52F7">
        <w:rPr>
          <w:rStyle w:val="s3"/>
        </w:rPr>
        <w:t xml:space="preserve"> (Qatar </w:t>
      </w:r>
      <w:r>
        <w:rPr>
          <w:rStyle w:val="s3"/>
        </w:rPr>
        <w:t>exchange</w:t>
      </w:r>
      <w:r w:rsidR="00DA52F7">
        <w:rPr>
          <w:rStyle w:val="s3"/>
        </w:rPr>
        <w:t>) to 2.25</w:t>
      </w:r>
      <w:r>
        <w:rPr>
          <w:rStyle w:val="s3"/>
        </w:rPr>
        <w:t>%</w:t>
      </w:r>
      <w:r w:rsidR="00DA52F7">
        <w:rPr>
          <w:rStyle w:val="s3"/>
        </w:rPr>
        <w:t xml:space="preserve"> (insurance) for</w:t>
      </w:r>
      <w:r w:rsidR="0094136B">
        <w:rPr>
          <w:rStyle w:val="s3"/>
        </w:rPr>
        <w:t xml:space="preserve"> Qatar, </w:t>
      </w:r>
    </w:p>
    <w:p w:rsidR="00C95ED6" w:rsidRDefault="00AE3CA7">
      <w:pPr>
        <w:pStyle w:val="ListParagraph"/>
        <w:numPr>
          <w:ilvl w:val="0"/>
          <w:numId w:val="4"/>
        </w:numPr>
        <w:rPr>
          <w:rStyle w:val="s3"/>
        </w:rPr>
      </w:pPr>
      <w:r>
        <w:rPr>
          <w:rStyle w:val="s3"/>
        </w:rPr>
        <w:t xml:space="preserve">from </w:t>
      </w:r>
      <w:r w:rsidR="0094136B">
        <w:rPr>
          <w:rStyle w:val="s3"/>
        </w:rPr>
        <w:t>1.56</w:t>
      </w:r>
      <w:r>
        <w:rPr>
          <w:rStyle w:val="s3"/>
        </w:rPr>
        <w:t>%</w:t>
      </w:r>
      <w:r w:rsidR="0094136B">
        <w:rPr>
          <w:rStyle w:val="s3"/>
        </w:rPr>
        <w:t xml:space="preserve"> (cement) to 2.69</w:t>
      </w:r>
      <w:r>
        <w:rPr>
          <w:rStyle w:val="s3"/>
        </w:rPr>
        <w:t>%</w:t>
      </w:r>
      <w:r w:rsidR="0094136B">
        <w:rPr>
          <w:rStyle w:val="s3"/>
        </w:rPr>
        <w:t xml:space="preserve"> (p</w:t>
      </w:r>
      <w:r w:rsidR="00DA52F7">
        <w:rPr>
          <w:rStyle w:val="s3"/>
        </w:rPr>
        <w:t xml:space="preserve">etrochemical) for Saudi Arabia, </w:t>
      </w:r>
    </w:p>
    <w:p w:rsidR="00C95ED6" w:rsidRDefault="00AE3CA7">
      <w:pPr>
        <w:pStyle w:val="ListParagraph"/>
        <w:numPr>
          <w:ilvl w:val="0"/>
          <w:numId w:val="4"/>
        </w:numPr>
        <w:rPr>
          <w:rStyle w:val="s3"/>
        </w:rPr>
      </w:pPr>
      <w:r>
        <w:rPr>
          <w:rStyle w:val="s3"/>
        </w:rPr>
        <w:t xml:space="preserve">from </w:t>
      </w:r>
      <w:r w:rsidR="00DA52F7">
        <w:rPr>
          <w:rStyle w:val="s3"/>
        </w:rPr>
        <w:t>0.84</w:t>
      </w:r>
      <w:r>
        <w:rPr>
          <w:rStyle w:val="s3"/>
        </w:rPr>
        <w:t>%</w:t>
      </w:r>
      <w:r w:rsidR="00DA52F7">
        <w:rPr>
          <w:rStyle w:val="s3"/>
        </w:rPr>
        <w:t xml:space="preserve"> (insurance) to 6.89</w:t>
      </w:r>
      <w:r>
        <w:rPr>
          <w:rStyle w:val="s3"/>
        </w:rPr>
        <w:t>%</w:t>
      </w:r>
      <w:r w:rsidR="00DA52F7">
        <w:rPr>
          <w:rStyle w:val="s3"/>
        </w:rPr>
        <w:t xml:space="preserve"> (energy)</w:t>
      </w:r>
      <w:r w:rsidR="00D04436">
        <w:rPr>
          <w:rStyle w:val="s3"/>
        </w:rPr>
        <w:t xml:space="preserve"> for UAE</w:t>
      </w:r>
      <w:r>
        <w:rPr>
          <w:rStyle w:val="s3"/>
        </w:rPr>
        <w:t>–</w:t>
      </w:r>
      <w:r w:rsidR="00D04436">
        <w:rPr>
          <w:rStyle w:val="s3"/>
        </w:rPr>
        <w:t>Abu Dhabi</w:t>
      </w:r>
    </w:p>
    <w:p w:rsidR="00C95ED6" w:rsidRDefault="00AE3CA7">
      <w:pPr>
        <w:pStyle w:val="ListParagraph"/>
        <w:numPr>
          <w:ilvl w:val="0"/>
          <w:numId w:val="4"/>
        </w:numPr>
        <w:rPr>
          <w:rStyle w:val="s3"/>
        </w:rPr>
      </w:pPr>
      <w:r>
        <w:rPr>
          <w:rStyle w:val="s3"/>
        </w:rPr>
        <w:t xml:space="preserve">from </w:t>
      </w:r>
      <w:r w:rsidR="00D04436">
        <w:rPr>
          <w:rStyle w:val="s3"/>
        </w:rPr>
        <w:t>1.14</w:t>
      </w:r>
      <w:r>
        <w:rPr>
          <w:rStyle w:val="s3"/>
        </w:rPr>
        <w:t>%</w:t>
      </w:r>
      <w:r w:rsidR="00D04436">
        <w:rPr>
          <w:rStyle w:val="s3"/>
        </w:rPr>
        <w:t xml:space="preserve"> (insurance) to 3.60</w:t>
      </w:r>
      <w:r>
        <w:rPr>
          <w:rStyle w:val="s3"/>
        </w:rPr>
        <w:t>%</w:t>
      </w:r>
      <w:r w:rsidR="00D04436">
        <w:rPr>
          <w:rStyle w:val="s3"/>
        </w:rPr>
        <w:t xml:space="preserve"> (utilities) for UAE</w:t>
      </w:r>
      <w:r>
        <w:rPr>
          <w:rStyle w:val="s3"/>
        </w:rPr>
        <w:t>–</w:t>
      </w:r>
      <w:r w:rsidR="00D04436">
        <w:rPr>
          <w:rStyle w:val="s3"/>
        </w:rPr>
        <w:t>Dubai</w:t>
      </w:r>
      <w:r w:rsidR="005C2882">
        <w:rPr>
          <w:rStyle w:val="s3"/>
        </w:rPr>
        <w:t>.</w:t>
      </w:r>
      <w:r w:rsidR="00D04436">
        <w:rPr>
          <w:rStyle w:val="s3"/>
        </w:rPr>
        <w:t xml:space="preserve"> </w:t>
      </w:r>
    </w:p>
    <w:p w:rsidR="00261138" w:rsidRDefault="00D04436" w:rsidP="00394A29">
      <w:pPr>
        <w:rPr>
          <w:rStyle w:val="s3"/>
        </w:rPr>
      </w:pPr>
      <w:r>
        <w:rPr>
          <w:rStyle w:val="s3"/>
        </w:rPr>
        <w:t xml:space="preserve">With the average daily oil price volatility hovering around 3%, the crude oil market </w:t>
      </w:r>
      <w:r w:rsidR="009F35BA">
        <w:rPr>
          <w:rStyle w:val="s3"/>
        </w:rPr>
        <w:t>is less volatile than sectors such as food (Kuwait), energy (</w:t>
      </w:r>
      <w:r w:rsidR="005654C8">
        <w:rPr>
          <w:rStyle w:val="s3"/>
        </w:rPr>
        <w:t>UAE–</w:t>
      </w:r>
      <w:r w:rsidR="009F35BA">
        <w:rPr>
          <w:rStyle w:val="s3"/>
        </w:rPr>
        <w:t>Abu Dhabi) and utility (</w:t>
      </w:r>
      <w:r w:rsidR="005654C8">
        <w:rPr>
          <w:rStyle w:val="s3"/>
        </w:rPr>
        <w:t>U</w:t>
      </w:r>
      <w:r w:rsidR="00E1141E" w:rsidRPr="00E1141E">
        <w:rPr>
          <w:rStyle w:val="s3"/>
        </w:rPr>
        <w:t>AE–</w:t>
      </w:r>
      <w:r w:rsidR="009F35BA">
        <w:rPr>
          <w:rStyle w:val="s3"/>
        </w:rPr>
        <w:t xml:space="preserve">Dubai). </w:t>
      </w:r>
      <w:r w:rsidR="00261138">
        <w:rPr>
          <w:rStyle w:val="s3"/>
        </w:rPr>
        <w:t xml:space="preserve">On the basis of relative risk, the portfolio that emerges for the average daily return analysis also performs quite well. Higher risk </w:t>
      </w:r>
      <w:r w:rsidR="005654C8">
        <w:rPr>
          <w:rStyle w:val="s3"/>
        </w:rPr>
        <w:t xml:space="preserve">with </w:t>
      </w:r>
      <w:r w:rsidR="00261138">
        <w:rPr>
          <w:rStyle w:val="s3"/>
        </w:rPr>
        <w:t>higher return is only confirmed for the industry sector</w:t>
      </w:r>
      <w:r w:rsidR="005654C8">
        <w:rPr>
          <w:rStyle w:val="s3"/>
        </w:rPr>
        <w:t>;</w:t>
      </w:r>
      <w:r w:rsidR="00261138">
        <w:rPr>
          <w:rStyle w:val="s3"/>
        </w:rPr>
        <w:t xml:space="preserve"> the remaining stocks </w:t>
      </w:r>
      <w:r w:rsidR="005654C8">
        <w:rPr>
          <w:rStyle w:val="s3"/>
        </w:rPr>
        <w:t xml:space="preserve">in </w:t>
      </w:r>
      <w:r w:rsidR="00261138">
        <w:rPr>
          <w:rStyle w:val="s3"/>
        </w:rPr>
        <w:t>the portfolio have lower risk attached than other stocks within the same market.</w:t>
      </w:r>
    </w:p>
    <w:p w:rsidR="005654C8" w:rsidRDefault="00912FC5" w:rsidP="00394A29">
      <w:pPr>
        <w:rPr>
          <w:rStyle w:val="s3"/>
        </w:rPr>
      </w:pPr>
      <w:r>
        <w:rPr>
          <w:rStyle w:val="s3"/>
        </w:rPr>
        <w:t xml:space="preserve">The </w:t>
      </w:r>
      <w:r w:rsidR="007D7160">
        <w:rPr>
          <w:rStyle w:val="s3"/>
        </w:rPr>
        <w:t xml:space="preserve">Granger causality and </w:t>
      </w:r>
      <w:r>
        <w:rPr>
          <w:rStyle w:val="s3"/>
        </w:rPr>
        <w:t>pairwise correlation</w:t>
      </w:r>
      <w:r w:rsidR="007D7160">
        <w:rPr>
          <w:rStyle w:val="s3"/>
        </w:rPr>
        <w:t xml:space="preserve"> results</w:t>
      </w:r>
      <w:r>
        <w:rPr>
          <w:rStyle w:val="s3"/>
        </w:rPr>
        <w:t xml:space="preserve"> between the daily stock </w:t>
      </w:r>
      <w:r w:rsidR="001C2BD1">
        <w:rPr>
          <w:rStyle w:val="s3"/>
        </w:rPr>
        <w:t xml:space="preserve">market </w:t>
      </w:r>
      <w:r>
        <w:rPr>
          <w:rStyle w:val="s3"/>
        </w:rPr>
        <w:t>return and oil price</w:t>
      </w:r>
      <w:r w:rsidR="007D7160">
        <w:rPr>
          <w:rStyle w:val="s3"/>
        </w:rPr>
        <w:t xml:space="preserve"> return are</w:t>
      </w:r>
      <w:r>
        <w:rPr>
          <w:rStyle w:val="s3"/>
        </w:rPr>
        <w:t xml:space="preserve"> incorporated in Table 1</w:t>
      </w:r>
      <w:r w:rsidR="00B90DB0">
        <w:rPr>
          <w:rStyle w:val="s3"/>
        </w:rPr>
        <w:t xml:space="preserve">. </w:t>
      </w:r>
      <w:r w:rsidR="007D7160">
        <w:rPr>
          <w:rStyle w:val="s3"/>
        </w:rPr>
        <w:t>We find strong evidence that oil price return</w:t>
      </w:r>
      <w:r w:rsidR="005654C8">
        <w:rPr>
          <w:rStyle w:val="s3"/>
        </w:rPr>
        <w:t>s</w:t>
      </w:r>
      <w:r w:rsidR="007D7160">
        <w:rPr>
          <w:rStyle w:val="s3"/>
        </w:rPr>
        <w:t xml:space="preserve"> can help forecast stock market returns in most GCC countries and for most sectors. The converse is mostly </w:t>
      </w:r>
      <w:r w:rsidR="005654C8">
        <w:rPr>
          <w:rStyle w:val="s3"/>
        </w:rPr>
        <w:t xml:space="preserve">true </w:t>
      </w:r>
      <w:r w:rsidR="007D7160">
        <w:rPr>
          <w:rStyle w:val="s3"/>
        </w:rPr>
        <w:t>for Saudi Arabia.</w:t>
      </w:r>
      <w:r w:rsidR="00DA11BA">
        <w:rPr>
          <w:rStyle w:val="FootnoteReference"/>
        </w:rPr>
        <w:footnoteReference w:id="15"/>
      </w:r>
      <w:r w:rsidR="007D7160">
        <w:rPr>
          <w:rStyle w:val="s3"/>
        </w:rPr>
        <w:t xml:space="preserve"> </w:t>
      </w:r>
      <w:r w:rsidR="00B90DB0">
        <w:rPr>
          <w:rStyle w:val="s3"/>
        </w:rPr>
        <w:t>Results not presented</w:t>
      </w:r>
      <w:r w:rsidR="001C2BD1">
        <w:rPr>
          <w:rStyle w:val="s3"/>
        </w:rPr>
        <w:t xml:space="preserve"> here show that</w:t>
      </w:r>
      <w:r w:rsidR="00E71F30">
        <w:rPr>
          <w:rStyle w:val="s3"/>
        </w:rPr>
        <w:t xml:space="preserve"> most</w:t>
      </w:r>
      <w:r w:rsidR="001C2BD1">
        <w:rPr>
          <w:rStyle w:val="s3"/>
        </w:rPr>
        <w:t xml:space="preserve"> sectoral </w:t>
      </w:r>
      <w:r w:rsidR="00674202">
        <w:rPr>
          <w:rStyle w:val="s3"/>
        </w:rPr>
        <w:t>stock</w:t>
      </w:r>
      <w:r w:rsidR="001C2BD1">
        <w:rPr>
          <w:rStyle w:val="s3"/>
        </w:rPr>
        <w:t xml:space="preserve"> returns are positively and highly correlated and significant at the 1% level. In only very few cases could we detect a negative corr</w:t>
      </w:r>
      <w:r w:rsidR="00E71F30">
        <w:rPr>
          <w:rStyle w:val="s3"/>
        </w:rPr>
        <w:t xml:space="preserve">elation. </w:t>
      </w:r>
      <w:r w:rsidR="001C2BD1">
        <w:rPr>
          <w:rStyle w:val="s3"/>
        </w:rPr>
        <w:t xml:space="preserve"> </w:t>
      </w:r>
      <w:r w:rsidR="00E71F30">
        <w:rPr>
          <w:rStyle w:val="s3"/>
        </w:rPr>
        <w:lastRenderedPageBreak/>
        <w:t>The link with the oil price return</w:t>
      </w:r>
      <w:r w:rsidR="005654C8">
        <w:rPr>
          <w:rStyle w:val="s3"/>
        </w:rPr>
        <w:t>s</w:t>
      </w:r>
      <w:r w:rsidR="00E71F30">
        <w:rPr>
          <w:rStyle w:val="s3"/>
        </w:rPr>
        <w:t>, however,</w:t>
      </w:r>
      <w:r w:rsidR="0094136B">
        <w:rPr>
          <w:rStyle w:val="s3"/>
        </w:rPr>
        <w:t xml:space="preserve"> is weak</w:t>
      </w:r>
      <w:r w:rsidR="00E71F30">
        <w:rPr>
          <w:rStyle w:val="s3"/>
        </w:rPr>
        <w:t xml:space="preserve">, </w:t>
      </w:r>
      <w:r w:rsidR="0094136B">
        <w:rPr>
          <w:rStyle w:val="s3"/>
        </w:rPr>
        <w:t xml:space="preserve">but </w:t>
      </w:r>
      <w:r w:rsidR="00E71F30">
        <w:rPr>
          <w:rStyle w:val="s3"/>
        </w:rPr>
        <w:t>significant</w:t>
      </w:r>
      <w:r w:rsidR="0094136B">
        <w:rPr>
          <w:rStyle w:val="s3"/>
        </w:rPr>
        <w:t xml:space="preserve">, </w:t>
      </w:r>
      <w:r w:rsidR="00E71F30">
        <w:rPr>
          <w:rStyle w:val="s3"/>
        </w:rPr>
        <w:t>at the 10</w:t>
      </w:r>
      <w:r w:rsidR="005654C8">
        <w:rPr>
          <w:rStyle w:val="s3"/>
        </w:rPr>
        <w:t>%</w:t>
      </w:r>
      <w:r w:rsidR="00E71F30">
        <w:rPr>
          <w:rStyle w:val="s3"/>
        </w:rPr>
        <w:t xml:space="preserve"> level.  </w:t>
      </w:r>
      <w:r w:rsidR="0094136B">
        <w:rPr>
          <w:rStyle w:val="s3"/>
        </w:rPr>
        <w:t>The correlation coefficient fluctuates</w:t>
      </w:r>
      <w:r w:rsidR="005654C8">
        <w:rPr>
          <w:rStyle w:val="s3"/>
        </w:rPr>
        <w:t>:</w:t>
      </w:r>
    </w:p>
    <w:p w:rsidR="00C95ED6" w:rsidRDefault="0094136B">
      <w:pPr>
        <w:pStyle w:val="ListParagraph"/>
        <w:numPr>
          <w:ilvl w:val="0"/>
          <w:numId w:val="5"/>
        </w:numPr>
        <w:rPr>
          <w:rStyle w:val="s3"/>
        </w:rPr>
      </w:pPr>
      <w:r>
        <w:rPr>
          <w:rStyle w:val="s3"/>
        </w:rPr>
        <w:t>betw</w:t>
      </w:r>
      <w:r w:rsidR="001274A0">
        <w:rPr>
          <w:rStyle w:val="s3"/>
        </w:rPr>
        <w:t>een -0.03 (hotel and tourism) and</w:t>
      </w:r>
      <w:r>
        <w:rPr>
          <w:rStyle w:val="s3"/>
        </w:rPr>
        <w:t xml:space="preserve"> 0.05 (commercial banks) for Bahrain, </w:t>
      </w:r>
    </w:p>
    <w:p w:rsidR="00C95ED6" w:rsidRDefault="005654C8">
      <w:pPr>
        <w:pStyle w:val="ListParagraph"/>
        <w:numPr>
          <w:ilvl w:val="0"/>
          <w:numId w:val="5"/>
        </w:numPr>
        <w:rPr>
          <w:rStyle w:val="s3"/>
        </w:rPr>
      </w:pPr>
      <w:r>
        <w:rPr>
          <w:rStyle w:val="s3"/>
        </w:rPr>
        <w:t xml:space="preserve">between </w:t>
      </w:r>
      <w:r w:rsidR="0094136B">
        <w:rPr>
          <w:rStyle w:val="s3"/>
        </w:rPr>
        <w:t xml:space="preserve">-0.03 (banks) and 0.05 (industry) for Kuwait, </w:t>
      </w:r>
    </w:p>
    <w:p w:rsidR="00C95ED6" w:rsidRDefault="005654C8">
      <w:pPr>
        <w:pStyle w:val="ListParagraph"/>
        <w:numPr>
          <w:ilvl w:val="0"/>
          <w:numId w:val="5"/>
        </w:numPr>
        <w:rPr>
          <w:rStyle w:val="s3"/>
        </w:rPr>
      </w:pPr>
      <w:r>
        <w:rPr>
          <w:rStyle w:val="s3"/>
        </w:rPr>
        <w:t xml:space="preserve">between </w:t>
      </w:r>
      <w:r w:rsidR="0094136B">
        <w:rPr>
          <w:rStyle w:val="s3"/>
        </w:rPr>
        <w:t>0.08 (industry) and 0.11 (</w:t>
      </w:r>
      <w:r>
        <w:rPr>
          <w:rStyle w:val="s3"/>
        </w:rPr>
        <w:t>b</w:t>
      </w:r>
      <w:r w:rsidR="0094136B">
        <w:rPr>
          <w:rStyle w:val="s3"/>
        </w:rPr>
        <w:t xml:space="preserve">anking and </w:t>
      </w:r>
      <w:r>
        <w:rPr>
          <w:rStyle w:val="s3"/>
        </w:rPr>
        <w:t>i</w:t>
      </w:r>
      <w:r w:rsidR="0094136B">
        <w:rPr>
          <w:rStyle w:val="s3"/>
        </w:rPr>
        <w:t>nvestment) for Oman,</w:t>
      </w:r>
    </w:p>
    <w:p w:rsidR="00C95ED6" w:rsidRDefault="005654C8">
      <w:pPr>
        <w:pStyle w:val="ListParagraph"/>
        <w:numPr>
          <w:ilvl w:val="0"/>
          <w:numId w:val="5"/>
        </w:numPr>
        <w:rPr>
          <w:rStyle w:val="s3"/>
        </w:rPr>
      </w:pPr>
      <w:r>
        <w:rPr>
          <w:rStyle w:val="s3"/>
        </w:rPr>
        <w:t>between</w:t>
      </w:r>
      <w:r w:rsidR="0094136B">
        <w:rPr>
          <w:rStyle w:val="s3"/>
        </w:rPr>
        <w:t xml:space="preserve"> 0.06 (industry) and 0.10 </w:t>
      </w:r>
      <w:r w:rsidR="00A52AEC">
        <w:rPr>
          <w:rStyle w:val="s3"/>
        </w:rPr>
        <w:t xml:space="preserve">(insurance) for Qatar, </w:t>
      </w:r>
    </w:p>
    <w:p w:rsidR="00C95ED6" w:rsidRDefault="005654C8">
      <w:pPr>
        <w:pStyle w:val="ListParagraph"/>
        <w:numPr>
          <w:ilvl w:val="0"/>
          <w:numId w:val="5"/>
        </w:numPr>
        <w:rPr>
          <w:rStyle w:val="s3"/>
        </w:rPr>
      </w:pPr>
      <w:r>
        <w:rPr>
          <w:rStyle w:val="s3"/>
        </w:rPr>
        <w:t xml:space="preserve">between </w:t>
      </w:r>
      <w:r w:rsidR="00A52AEC">
        <w:rPr>
          <w:rStyle w:val="s3"/>
        </w:rPr>
        <w:t xml:space="preserve">0.08 (hotel and tourism) and 0.19 (cement) for Saudi Arabia, </w:t>
      </w:r>
    </w:p>
    <w:p w:rsidR="00C95ED6" w:rsidRDefault="005654C8">
      <w:pPr>
        <w:pStyle w:val="ListParagraph"/>
        <w:numPr>
          <w:ilvl w:val="0"/>
          <w:numId w:val="5"/>
        </w:numPr>
        <w:rPr>
          <w:rStyle w:val="s3"/>
        </w:rPr>
      </w:pPr>
      <w:r>
        <w:rPr>
          <w:rStyle w:val="s3"/>
        </w:rPr>
        <w:t xml:space="preserve">between </w:t>
      </w:r>
      <w:r w:rsidR="00A52AEC">
        <w:rPr>
          <w:rStyle w:val="s3"/>
        </w:rPr>
        <w:t>0.03 (banking and finance) and 0.11 (</w:t>
      </w:r>
      <w:commentRangeStart w:id="4"/>
      <w:r w:rsidR="00A52AEC">
        <w:rPr>
          <w:rStyle w:val="s3"/>
        </w:rPr>
        <w:t>ADX</w:t>
      </w:r>
      <w:commentRangeEnd w:id="4"/>
      <w:r>
        <w:rPr>
          <w:rStyle w:val="CommentReference"/>
        </w:rPr>
        <w:commentReference w:id="4"/>
      </w:r>
      <w:r w:rsidR="00A52AEC">
        <w:rPr>
          <w:rStyle w:val="s3"/>
        </w:rPr>
        <w:t>) for UAE</w:t>
      </w:r>
      <w:r>
        <w:rPr>
          <w:rStyle w:val="s3"/>
        </w:rPr>
        <w:t>–</w:t>
      </w:r>
      <w:r w:rsidR="00A52AEC">
        <w:rPr>
          <w:rStyle w:val="s3"/>
        </w:rPr>
        <w:t xml:space="preserve">Abu Dhabi, </w:t>
      </w:r>
    </w:p>
    <w:p w:rsidR="00C95ED6" w:rsidRDefault="005654C8">
      <w:pPr>
        <w:pStyle w:val="ListParagraph"/>
        <w:numPr>
          <w:ilvl w:val="0"/>
          <w:numId w:val="5"/>
        </w:numPr>
        <w:rPr>
          <w:rStyle w:val="s3"/>
        </w:rPr>
      </w:pPr>
      <w:r>
        <w:rPr>
          <w:rStyle w:val="s3"/>
        </w:rPr>
        <w:t xml:space="preserve">between </w:t>
      </w:r>
      <w:r w:rsidR="00A52AEC">
        <w:rPr>
          <w:rStyle w:val="s3"/>
        </w:rPr>
        <w:t>0.02 (materials) and 0.14 (</w:t>
      </w:r>
      <w:commentRangeStart w:id="5"/>
      <w:r w:rsidR="00A52AEC">
        <w:rPr>
          <w:rStyle w:val="s3"/>
        </w:rPr>
        <w:t>DFM</w:t>
      </w:r>
      <w:commentRangeEnd w:id="5"/>
      <w:r>
        <w:rPr>
          <w:rStyle w:val="CommentReference"/>
        </w:rPr>
        <w:commentReference w:id="5"/>
      </w:r>
      <w:r w:rsidR="00A52AEC">
        <w:rPr>
          <w:rStyle w:val="s3"/>
        </w:rPr>
        <w:t xml:space="preserve">), </w:t>
      </w:r>
    </w:p>
    <w:p w:rsidR="00C95ED6" w:rsidRDefault="005654C8">
      <w:pPr>
        <w:pStyle w:val="ListParagraph"/>
        <w:numPr>
          <w:ilvl w:val="0"/>
          <w:numId w:val="5"/>
        </w:numPr>
        <w:rPr>
          <w:rStyle w:val="s3"/>
        </w:rPr>
      </w:pPr>
      <w:r>
        <w:rPr>
          <w:rStyle w:val="s3"/>
        </w:rPr>
        <w:t xml:space="preserve">between </w:t>
      </w:r>
      <w:r w:rsidR="00A52AEC">
        <w:rPr>
          <w:rStyle w:val="s3"/>
        </w:rPr>
        <w:t>0.03 (utilities) and 0.13 (cyclical and non-cyclical goods) for the overall GCC.</w:t>
      </w:r>
      <w:r w:rsidR="00B90DB0">
        <w:rPr>
          <w:rStyle w:val="s3"/>
        </w:rPr>
        <w:t xml:space="preserve"> </w:t>
      </w:r>
    </w:p>
    <w:p w:rsidR="00B90DB0" w:rsidRDefault="00B90DB0" w:rsidP="00394A29">
      <w:pPr>
        <w:rPr>
          <w:rStyle w:val="s3"/>
        </w:rPr>
      </w:pPr>
      <w:r>
        <w:rPr>
          <w:rStyle w:val="s3"/>
        </w:rPr>
        <w:t xml:space="preserve">These results suggest that </w:t>
      </w:r>
      <w:r w:rsidR="005654C8">
        <w:rPr>
          <w:rStyle w:val="s3"/>
        </w:rPr>
        <w:t xml:space="preserve">a </w:t>
      </w:r>
      <w:r>
        <w:rPr>
          <w:rStyle w:val="s3"/>
        </w:rPr>
        <w:t>movement in crude oil price</w:t>
      </w:r>
      <w:r w:rsidR="005654C8">
        <w:rPr>
          <w:rStyle w:val="s3"/>
        </w:rPr>
        <w:t>s</w:t>
      </w:r>
      <w:r>
        <w:rPr>
          <w:rStyle w:val="s3"/>
        </w:rPr>
        <w:t xml:space="preserve"> is not a strong signal when it comes to watching fluctuations in sectoral and national </w:t>
      </w:r>
      <w:r w:rsidR="00674202">
        <w:rPr>
          <w:rStyle w:val="s3"/>
        </w:rPr>
        <w:t>stock</w:t>
      </w:r>
      <w:r>
        <w:rPr>
          <w:rStyle w:val="s3"/>
        </w:rPr>
        <w:t xml:space="preserve"> prices for speculative purposes.</w:t>
      </w:r>
    </w:p>
    <w:p w:rsidR="00D04436" w:rsidRDefault="00261138" w:rsidP="00394A29">
      <w:pPr>
        <w:rPr>
          <w:rStyle w:val="s3"/>
        </w:rPr>
      </w:pPr>
      <w:r>
        <w:rPr>
          <w:rStyle w:val="s3"/>
        </w:rPr>
        <w:t>None of the</w:t>
      </w:r>
      <w:r w:rsidR="0019313A">
        <w:rPr>
          <w:rStyle w:val="s3"/>
        </w:rPr>
        <w:t xml:space="preserve"> daily return series is</w:t>
      </w:r>
      <w:r>
        <w:rPr>
          <w:rStyle w:val="s3"/>
        </w:rPr>
        <w:t xml:space="preserve"> normally distributed as </w:t>
      </w:r>
      <w:r w:rsidR="0019313A">
        <w:rPr>
          <w:rStyle w:val="s3"/>
        </w:rPr>
        <w:t>per the Jarque</w:t>
      </w:r>
      <w:r w:rsidR="005654C8">
        <w:rPr>
          <w:rStyle w:val="s3"/>
        </w:rPr>
        <w:t>–</w:t>
      </w:r>
      <w:r w:rsidR="0019313A">
        <w:rPr>
          <w:rStyle w:val="s3"/>
        </w:rPr>
        <w:t>Bera, Shapiro</w:t>
      </w:r>
      <w:r w:rsidR="005654C8">
        <w:rPr>
          <w:rStyle w:val="s3"/>
        </w:rPr>
        <w:t>–</w:t>
      </w:r>
      <w:r w:rsidR="0019313A">
        <w:rPr>
          <w:rStyle w:val="s3"/>
        </w:rPr>
        <w:t>Wilk and Shapiro</w:t>
      </w:r>
      <w:r w:rsidR="005654C8">
        <w:rPr>
          <w:rStyle w:val="s3"/>
        </w:rPr>
        <w:t>–</w:t>
      </w:r>
      <w:r w:rsidR="0019313A">
        <w:rPr>
          <w:rStyle w:val="s3"/>
        </w:rPr>
        <w:t>Francia non-normality tests at the 1% significance level. The distribution</w:t>
      </w:r>
      <w:r w:rsidR="00D315CF">
        <w:rPr>
          <w:rStyle w:val="s3"/>
        </w:rPr>
        <w:t>s</w:t>
      </w:r>
      <w:r w:rsidR="0019313A">
        <w:rPr>
          <w:rStyle w:val="s3"/>
        </w:rPr>
        <w:t xml:space="preserve"> of returns are negatively skewed and leptokurtic (kurtosis is far above 3 in all cases</w:t>
      </w:r>
      <w:r w:rsidR="00D315CF">
        <w:rPr>
          <w:rStyle w:val="s3"/>
        </w:rPr>
        <w:t xml:space="preserve">), meaning that they have both higher peaks and fatter tails than a normal distribution. </w:t>
      </w:r>
      <w:r w:rsidR="0019313A">
        <w:rPr>
          <w:rStyle w:val="s3"/>
        </w:rPr>
        <w:t xml:space="preserve"> </w:t>
      </w:r>
      <w:r>
        <w:rPr>
          <w:rStyle w:val="s3"/>
        </w:rPr>
        <w:t xml:space="preserve">  </w:t>
      </w:r>
    </w:p>
    <w:p w:rsidR="00ED6AC2" w:rsidRPr="00F2404C" w:rsidRDefault="00ED6AC2" w:rsidP="00394A29">
      <w:pPr>
        <w:rPr>
          <w:rStyle w:val="s3"/>
          <w:b/>
        </w:rPr>
      </w:pPr>
      <w:r w:rsidRPr="00F2404C">
        <w:rPr>
          <w:rStyle w:val="s3"/>
          <w:b/>
        </w:rPr>
        <w:t>Section 4</w:t>
      </w:r>
      <w:r w:rsidRPr="00F2404C">
        <w:rPr>
          <w:rStyle w:val="s3"/>
          <w:b/>
        </w:rPr>
        <w:tab/>
        <w:t>Empirical Analysis</w:t>
      </w:r>
    </w:p>
    <w:p w:rsidR="00ED6AC2" w:rsidRPr="00F2404C" w:rsidRDefault="00215CAE" w:rsidP="005E6E47">
      <w:pPr>
        <w:outlineLvl w:val="0"/>
        <w:rPr>
          <w:rStyle w:val="s3"/>
          <w:b/>
        </w:rPr>
      </w:pPr>
      <w:r>
        <w:rPr>
          <w:rStyle w:val="s3"/>
          <w:b/>
        </w:rPr>
        <w:t>4.1</w:t>
      </w:r>
      <w:r>
        <w:rPr>
          <w:rStyle w:val="s3"/>
          <w:b/>
        </w:rPr>
        <w:tab/>
      </w:r>
      <w:r w:rsidR="00C461AE" w:rsidRPr="00F2404C">
        <w:rPr>
          <w:rStyle w:val="s3"/>
          <w:b/>
        </w:rPr>
        <w:t xml:space="preserve">The </w:t>
      </w:r>
      <w:r>
        <w:rPr>
          <w:rStyle w:val="s3"/>
          <w:b/>
        </w:rPr>
        <w:t>s</w:t>
      </w:r>
      <w:r w:rsidR="00C461AE" w:rsidRPr="00F2404C">
        <w:rPr>
          <w:rStyle w:val="s3"/>
          <w:b/>
        </w:rPr>
        <w:t xml:space="preserve">ynchronicity </w:t>
      </w:r>
      <w:r>
        <w:rPr>
          <w:rStyle w:val="s3"/>
          <w:b/>
        </w:rPr>
        <w:t>r</w:t>
      </w:r>
      <w:r w:rsidR="00C461AE" w:rsidRPr="00F2404C">
        <w:rPr>
          <w:rStyle w:val="s3"/>
          <w:b/>
        </w:rPr>
        <w:t>esults</w:t>
      </w:r>
    </w:p>
    <w:p w:rsidR="000B0117" w:rsidRPr="005654C8" w:rsidRDefault="00C461AE" w:rsidP="0080074A">
      <w:pPr>
        <w:rPr>
          <w:rStyle w:val="s3"/>
        </w:rPr>
      </w:pPr>
      <w:r>
        <w:rPr>
          <w:rStyle w:val="s3"/>
        </w:rPr>
        <w:t>To determine the degree of synchronicity between oil price</w:t>
      </w:r>
      <w:r w:rsidR="00215CAE">
        <w:rPr>
          <w:rStyle w:val="s3"/>
        </w:rPr>
        <w:t>s</w:t>
      </w:r>
      <w:r>
        <w:rPr>
          <w:rStyle w:val="s3"/>
        </w:rPr>
        <w:t xml:space="preserve"> and GCC stock prices, returns and </w:t>
      </w:r>
      <w:r w:rsidR="00A93AD8">
        <w:rPr>
          <w:rStyle w:val="s3"/>
        </w:rPr>
        <w:t>rolling</w:t>
      </w:r>
      <w:r w:rsidR="00215CAE">
        <w:rPr>
          <w:rStyle w:val="s3"/>
        </w:rPr>
        <w:t xml:space="preserve"> </w:t>
      </w:r>
      <w:r w:rsidR="00A93AD8">
        <w:rPr>
          <w:rStyle w:val="s3"/>
        </w:rPr>
        <w:t xml:space="preserve">window </w:t>
      </w:r>
      <w:r>
        <w:rPr>
          <w:rStyle w:val="s3"/>
        </w:rPr>
        <w:t>volatilities were each decomposed into a permanent component or trend  and a transitory component or cycle, using the</w:t>
      </w:r>
      <w:r w:rsidR="00151398">
        <w:rPr>
          <w:rStyle w:val="s3"/>
        </w:rPr>
        <w:t xml:space="preserve"> popular</w:t>
      </w:r>
      <w:r>
        <w:rPr>
          <w:rStyle w:val="s3"/>
        </w:rPr>
        <w:t xml:space="preserve"> </w:t>
      </w:r>
      <w:commentRangeStart w:id="6"/>
      <w:r>
        <w:rPr>
          <w:rStyle w:val="s3"/>
        </w:rPr>
        <w:t xml:space="preserve">HP </w:t>
      </w:r>
      <w:commentRangeEnd w:id="6"/>
      <w:r w:rsidR="00215CAE">
        <w:rPr>
          <w:rStyle w:val="CommentReference"/>
        </w:rPr>
        <w:commentReference w:id="6"/>
      </w:r>
      <w:r>
        <w:rPr>
          <w:rStyle w:val="s3"/>
        </w:rPr>
        <w:t xml:space="preserve">filter with </w:t>
      </w:r>
      <w:r w:rsidR="000B0117">
        <w:rPr>
          <w:rStyle w:val="s3"/>
        </w:rPr>
        <w:t xml:space="preserve">a smoothing parameter, λ, equal to </w:t>
      </w:r>
      <w:r w:rsidR="000B0117" w:rsidRPr="000B0117">
        <w:t>(90)</w:t>
      </w:r>
      <w:r w:rsidR="000B0117" w:rsidRPr="000B0117">
        <w:rPr>
          <w:vertAlign w:val="superscript"/>
        </w:rPr>
        <w:t>4</w:t>
      </w:r>
      <w:r w:rsidR="00215CAE">
        <w:t xml:space="preserve"> × </w:t>
      </w:r>
      <w:r w:rsidR="000B0117" w:rsidRPr="000B0117">
        <w:t>1600 = 104,976,000,000</w:t>
      </w:r>
      <w:r w:rsidR="00151398">
        <w:t xml:space="preserve"> as suggested by Ravn and Uhlig (2002)</w:t>
      </w:r>
      <w:r w:rsidR="00314588">
        <w:t xml:space="preserve"> for daily data</w:t>
      </w:r>
      <w:r w:rsidR="00151398">
        <w:t>. The trend captures long-term returns</w:t>
      </w:r>
      <w:r w:rsidR="00215CAE">
        <w:t>,</w:t>
      </w:r>
      <w:r w:rsidR="00151398">
        <w:t xml:space="preserve"> while the cycle is associated </w:t>
      </w:r>
      <w:r w:rsidR="00215CAE">
        <w:t xml:space="preserve">with </w:t>
      </w:r>
      <w:r w:rsidR="00151398">
        <w:t xml:space="preserve">market </w:t>
      </w:r>
      <w:r w:rsidR="00D3081E">
        <w:t>sentiments. We use the cycle definition that expresses the cycle as</w:t>
      </w:r>
      <w:r w:rsidR="00F6338F">
        <w:t xml:space="preserve"> a</w:t>
      </w:r>
      <w:r w:rsidR="00D3081E">
        <w:t xml:space="preserve"> share of the actual trend. </w:t>
      </w:r>
      <w:r w:rsidR="00BC1BD4">
        <w:t xml:space="preserve">The cyclical component of </w:t>
      </w:r>
      <w:r w:rsidR="00E1141E" w:rsidRPr="00E1141E">
        <w:rPr>
          <w:rFonts w:cs="AdvTT3713a231"/>
        </w:rPr>
        <w:t>volatility is assumed to capture transitory noise whereas the permanent component reflects disturbances to economic fundamentals.</w:t>
      </w:r>
    </w:p>
    <w:p w:rsidR="00C4732F" w:rsidRDefault="001F4564">
      <w:pPr>
        <w:rPr>
          <w:rFonts w:ascii="Calibri" w:hAnsi="Calibri"/>
          <w:color w:val="000000"/>
        </w:rPr>
      </w:pPr>
      <w:r>
        <w:rPr>
          <w:rFonts w:ascii="Calibri" w:hAnsi="Calibri"/>
          <w:color w:val="000000"/>
        </w:rPr>
        <w:t>We</w:t>
      </w:r>
      <w:r w:rsidR="005A3A8E">
        <w:rPr>
          <w:rFonts w:ascii="Calibri" w:hAnsi="Calibri"/>
          <w:color w:val="000000"/>
        </w:rPr>
        <w:t xml:space="preserve"> use a five</w:t>
      </w:r>
      <w:r>
        <w:rPr>
          <w:rFonts w:ascii="Calibri" w:hAnsi="Calibri"/>
          <w:color w:val="000000"/>
        </w:rPr>
        <w:t>-step approach</w:t>
      </w:r>
      <w:r w:rsidR="00C4732F" w:rsidRPr="00C4732F">
        <w:rPr>
          <w:rFonts w:ascii="Calibri" w:hAnsi="Calibri"/>
          <w:color w:val="000000"/>
        </w:rPr>
        <w:t xml:space="preserve"> to arrive at the synchronicity </w:t>
      </w:r>
      <w:r w:rsidR="00A63B78">
        <w:rPr>
          <w:rFonts w:ascii="Calibri" w:hAnsi="Calibri"/>
          <w:color w:val="000000"/>
        </w:rPr>
        <w:t>ratio</w:t>
      </w:r>
      <w:r w:rsidR="00C4732F" w:rsidRPr="00C4732F">
        <w:rPr>
          <w:rFonts w:ascii="Calibri" w:hAnsi="Calibri"/>
          <w:color w:val="000000"/>
        </w:rPr>
        <w:t xml:space="preserve"> (SR) for each </w:t>
      </w:r>
      <w:r>
        <w:rPr>
          <w:rFonts w:ascii="Calibri" w:hAnsi="Calibri"/>
          <w:color w:val="000000"/>
        </w:rPr>
        <w:t xml:space="preserve">pairing of the cycles </w:t>
      </w:r>
      <w:r w:rsidR="00A63B78">
        <w:rPr>
          <w:rFonts w:ascii="Calibri" w:hAnsi="Calibri"/>
          <w:color w:val="000000"/>
        </w:rPr>
        <w:t xml:space="preserve">on the </w:t>
      </w:r>
      <w:r>
        <w:rPr>
          <w:rFonts w:ascii="Calibri" w:hAnsi="Calibri"/>
          <w:color w:val="000000"/>
        </w:rPr>
        <w:t>bas</w:t>
      </w:r>
      <w:r w:rsidR="00A63B78">
        <w:rPr>
          <w:rFonts w:ascii="Calibri" w:hAnsi="Calibri"/>
          <w:color w:val="000000"/>
        </w:rPr>
        <w:t>is of</w:t>
      </w:r>
      <w:r>
        <w:rPr>
          <w:rFonts w:ascii="Calibri" w:hAnsi="Calibri"/>
          <w:color w:val="000000"/>
        </w:rPr>
        <w:t xml:space="preserve"> </w:t>
      </w:r>
      <w:r w:rsidR="00A63B78">
        <w:rPr>
          <w:rFonts w:ascii="Calibri" w:hAnsi="Calibri"/>
          <w:color w:val="000000"/>
        </w:rPr>
        <w:t>E</w:t>
      </w:r>
      <w:r>
        <w:rPr>
          <w:rFonts w:ascii="Calibri" w:hAnsi="Calibri"/>
          <w:color w:val="000000"/>
        </w:rPr>
        <w:t>quations</w:t>
      </w:r>
      <w:r w:rsidR="00A63B78">
        <w:rPr>
          <w:rFonts w:ascii="Calibri" w:hAnsi="Calibri"/>
          <w:color w:val="000000"/>
        </w:rPr>
        <w:t xml:space="preserve"> (5) and (6)</w:t>
      </w:r>
      <w:r w:rsidR="00C4732F" w:rsidRPr="00C4732F">
        <w:rPr>
          <w:rFonts w:ascii="Calibri" w:hAnsi="Calibri"/>
          <w:color w:val="000000"/>
        </w:rPr>
        <w:t xml:space="preserve">. </w:t>
      </w:r>
      <w:r w:rsidR="00215CAE">
        <w:rPr>
          <w:rFonts w:ascii="Calibri" w:hAnsi="Calibri"/>
          <w:color w:val="000000"/>
        </w:rPr>
        <w:t>The o</w:t>
      </w:r>
      <w:r w:rsidR="00C4732F" w:rsidRPr="00C4732F">
        <w:rPr>
          <w:rFonts w:ascii="Calibri" w:hAnsi="Calibri"/>
          <w:color w:val="000000"/>
        </w:rPr>
        <w:t xml:space="preserve">il price return (volatility) gap is used as the reference cycle for </w:t>
      </w:r>
      <w:r w:rsidR="00215CAE">
        <w:rPr>
          <w:rFonts w:ascii="Calibri" w:hAnsi="Calibri"/>
          <w:color w:val="000000"/>
        </w:rPr>
        <w:t xml:space="preserve">the </w:t>
      </w:r>
      <w:r w:rsidR="00C4732F" w:rsidRPr="00C4732F">
        <w:rPr>
          <w:rFonts w:ascii="Calibri" w:hAnsi="Calibri"/>
          <w:color w:val="000000"/>
        </w:rPr>
        <w:t>nation-wide and sector-wide stock price return (volati</w:t>
      </w:r>
      <w:r w:rsidR="00D519A3">
        <w:rPr>
          <w:rFonts w:ascii="Calibri" w:hAnsi="Calibri"/>
          <w:color w:val="000000"/>
        </w:rPr>
        <w:t>lity) cycle</w:t>
      </w:r>
      <w:r w:rsidR="00215CAE">
        <w:rPr>
          <w:rFonts w:ascii="Calibri" w:hAnsi="Calibri"/>
          <w:color w:val="000000"/>
        </w:rPr>
        <w:t>s</w:t>
      </w:r>
      <w:r w:rsidR="00D519A3">
        <w:rPr>
          <w:rFonts w:ascii="Calibri" w:hAnsi="Calibri"/>
          <w:color w:val="000000"/>
        </w:rPr>
        <w:t>.  First, we count</w:t>
      </w:r>
      <w:r w:rsidR="00C4732F" w:rsidRPr="00C4732F">
        <w:rPr>
          <w:rFonts w:ascii="Calibri" w:hAnsi="Calibri"/>
          <w:color w:val="000000"/>
        </w:rPr>
        <w:t xml:space="preserve"> the number of synchronized cycles (+1</w:t>
      </w:r>
      <w:r w:rsidR="00A63B78">
        <w:rPr>
          <w:rFonts w:ascii="Calibri" w:hAnsi="Calibri"/>
          <w:color w:val="000000"/>
        </w:rPr>
        <w:t>s</w:t>
      </w:r>
      <w:r w:rsidR="00C4732F" w:rsidRPr="00C4732F">
        <w:rPr>
          <w:rFonts w:ascii="Calibri" w:hAnsi="Calibri"/>
          <w:color w:val="000000"/>
        </w:rPr>
        <w:t>) and divergent cycles (-1</w:t>
      </w:r>
      <w:r w:rsidR="00A63B78">
        <w:rPr>
          <w:rFonts w:ascii="Calibri" w:hAnsi="Calibri"/>
          <w:color w:val="000000"/>
        </w:rPr>
        <w:t>s</w:t>
      </w:r>
      <w:r w:rsidR="00D519A3">
        <w:rPr>
          <w:rFonts w:ascii="Calibri" w:hAnsi="Calibri"/>
          <w:color w:val="000000"/>
        </w:rPr>
        <w:t>)</w:t>
      </w:r>
      <w:r w:rsidR="00215CAE">
        <w:rPr>
          <w:rFonts w:ascii="Calibri" w:hAnsi="Calibri"/>
          <w:color w:val="000000"/>
        </w:rPr>
        <w:t>,</w:t>
      </w:r>
      <w:r w:rsidR="00D519A3">
        <w:rPr>
          <w:rFonts w:ascii="Calibri" w:hAnsi="Calibri"/>
          <w:color w:val="000000"/>
        </w:rPr>
        <w:t xml:space="preserve"> and obtain</w:t>
      </w:r>
      <w:r w:rsidR="00C4732F" w:rsidRPr="00C4732F">
        <w:rPr>
          <w:rFonts w:ascii="Calibri" w:hAnsi="Calibri"/>
          <w:color w:val="000000"/>
        </w:rPr>
        <w:t xml:space="preserve"> a total equal to the number of cycles over the years for each pairing with the refe</w:t>
      </w:r>
      <w:r w:rsidR="00D519A3">
        <w:rPr>
          <w:rFonts w:ascii="Calibri" w:hAnsi="Calibri"/>
          <w:color w:val="000000"/>
        </w:rPr>
        <w:t>rence cycle. Second, we compute</w:t>
      </w:r>
      <w:r w:rsidR="00C4732F" w:rsidRPr="00C4732F">
        <w:rPr>
          <w:rFonts w:ascii="Calibri" w:hAnsi="Calibri"/>
          <w:color w:val="000000"/>
        </w:rPr>
        <w:t xml:space="preserve"> the </w:t>
      </w:r>
      <w:r w:rsidR="00215CAE">
        <w:rPr>
          <w:rFonts w:ascii="Calibri" w:hAnsi="Calibri"/>
          <w:color w:val="000000"/>
        </w:rPr>
        <w:t>proportion</w:t>
      </w:r>
      <w:r w:rsidR="00215CAE" w:rsidRPr="00C4732F">
        <w:rPr>
          <w:rFonts w:ascii="Calibri" w:hAnsi="Calibri"/>
          <w:color w:val="000000"/>
        </w:rPr>
        <w:t xml:space="preserve"> </w:t>
      </w:r>
      <w:r w:rsidR="00C4732F" w:rsidRPr="00C4732F">
        <w:rPr>
          <w:rFonts w:ascii="Calibri" w:hAnsi="Calibri"/>
          <w:color w:val="000000"/>
        </w:rPr>
        <w:t xml:space="preserve">of +1s </w:t>
      </w:r>
      <w:r w:rsidR="00215CAE">
        <w:rPr>
          <w:rFonts w:ascii="Calibri" w:hAnsi="Calibri"/>
          <w:color w:val="000000"/>
        </w:rPr>
        <w:t>within</w:t>
      </w:r>
      <w:r w:rsidR="00215CAE" w:rsidRPr="00C4732F">
        <w:rPr>
          <w:rFonts w:ascii="Calibri" w:hAnsi="Calibri"/>
          <w:color w:val="000000"/>
        </w:rPr>
        <w:t xml:space="preserve"> </w:t>
      </w:r>
      <w:r w:rsidR="00C4732F" w:rsidRPr="00C4732F">
        <w:rPr>
          <w:rFonts w:ascii="Calibri" w:hAnsi="Calibri"/>
          <w:color w:val="000000"/>
        </w:rPr>
        <w:t xml:space="preserve">the total. Third, we produced a count of the </w:t>
      </w:r>
      <w:r w:rsidR="00215CAE">
        <w:rPr>
          <w:rFonts w:ascii="Calibri" w:hAnsi="Calibri"/>
          <w:color w:val="000000"/>
        </w:rPr>
        <w:t>proportions</w:t>
      </w:r>
      <w:r w:rsidR="00215CAE" w:rsidRPr="00C4732F">
        <w:rPr>
          <w:rFonts w:ascii="Calibri" w:hAnsi="Calibri"/>
          <w:color w:val="000000"/>
        </w:rPr>
        <w:t xml:space="preserve"> </w:t>
      </w:r>
      <w:r w:rsidR="00C4732F" w:rsidRPr="00C4732F">
        <w:rPr>
          <w:rFonts w:ascii="Calibri" w:hAnsi="Calibri"/>
          <w:color w:val="000000"/>
        </w:rPr>
        <w:t xml:space="preserve">of +1s </w:t>
      </w:r>
      <w:r w:rsidR="00215CAE">
        <w:rPr>
          <w:rFonts w:ascii="Calibri" w:hAnsi="Calibri"/>
          <w:color w:val="000000"/>
        </w:rPr>
        <w:t xml:space="preserve">that were </w:t>
      </w:r>
      <w:r w:rsidR="00C4732F" w:rsidRPr="00C4732F">
        <w:rPr>
          <w:rFonts w:ascii="Calibri" w:hAnsi="Calibri"/>
          <w:color w:val="000000"/>
        </w:rPr>
        <w:t xml:space="preserve">greater than 0.50. Fourth, we calculated the SR as the count of </w:t>
      </w:r>
      <w:r w:rsidR="00215CAE">
        <w:rPr>
          <w:rFonts w:ascii="Calibri" w:hAnsi="Calibri"/>
          <w:color w:val="000000"/>
        </w:rPr>
        <w:t>proportions</w:t>
      </w:r>
      <w:r w:rsidR="00215CAE" w:rsidRPr="00C4732F">
        <w:rPr>
          <w:rFonts w:ascii="Calibri" w:hAnsi="Calibri"/>
          <w:color w:val="000000"/>
        </w:rPr>
        <w:t xml:space="preserve"> </w:t>
      </w:r>
      <w:r w:rsidR="00C4732F" w:rsidRPr="00C4732F">
        <w:rPr>
          <w:rFonts w:ascii="Calibri" w:hAnsi="Calibri"/>
          <w:color w:val="000000"/>
        </w:rPr>
        <w:t xml:space="preserve">of +1s </w:t>
      </w:r>
      <w:r w:rsidR="00215CAE">
        <w:rPr>
          <w:rFonts w:ascii="Calibri" w:hAnsi="Calibri"/>
          <w:color w:val="000000"/>
        </w:rPr>
        <w:t xml:space="preserve">that were </w:t>
      </w:r>
      <w:r w:rsidR="00C4732F" w:rsidRPr="00C4732F">
        <w:rPr>
          <w:rFonts w:ascii="Calibri" w:hAnsi="Calibri"/>
          <w:color w:val="000000"/>
        </w:rPr>
        <w:t>greater than 0.50 over the total (+1s and -1s) multiplied by 100 and rounded off to the nearest whole number.</w:t>
      </w:r>
      <w:r w:rsidR="005A3A8E">
        <w:rPr>
          <w:rFonts w:ascii="Calibri" w:hAnsi="Calibri"/>
          <w:color w:val="000000"/>
        </w:rPr>
        <w:t xml:space="preserve"> Fifth, we assess the degree of synchronicity using the three benchmarks described in the</w:t>
      </w:r>
      <w:r w:rsidR="00B840F3">
        <w:rPr>
          <w:rFonts w:ascii="Calibri" w:hAnsi="Calibri"/>
          <w:color w:val="000000"/>
        </w:rPr>
        <w:t xml:space="preserve"> above</w:t>
      </w:r>
      <w:r w:rsidR="005A3A8E">
        <w:rPr>
          <w:rFonts w:ascii="Calibri" w:hAnsi="Calibri"/>
          <w:color w:val="000000"/>
        </w:rPr>
        <w:t xml:space="preserve"> methodology</w:t>
      </w:r>
      <w:r w:rsidR="00B840F3">
        <w:rPr>
          <w:rFonts w:ascii="Calibri" w:hAnsi="Calibri"/>
          <w:color w:val="000000"/>
        </w:rPr>
        <w:t>.</w:t>
      </w:r>
      <w:r w:rsidR="00C4732F" w:rsidRPr="00C4732F">
        <w:rPr>
          <w:rFonts w:ascii="Calibri" w:hAnsi="Calibri"/>
          <w:color w:val="000000"/>
        </w:rPr>
        <w:t xml:space="preserve"> </w:t>
      </w:r>
    </w:p>
    <w:p w:rsidR="00FC02F8" w:rsidRDefault="00D7474F" w:rsidP="00B840F3">
      <w:pPr>
        <w:rPr>
          <w:rFonts w:ascii="Calibri" w:hAnsi="Calibri"/>
          <w:color w:val="000000"/>
        </w:rPr>
      </w:pPr>
      <w:r>
        <w:rPr>
          <w:rFonts w:ascii="Calibri" w:hAnsi="Calibri"/>
          <w:color w:val="000000"/>
        </w:rPr>
        <w:t xml:space="preserve">For the multivariate synchronicity measures, we computed the horizontal average of the +1s and -1s stemming from the matching of the reference cycle with the individual cycle at every point in time. This </w:t>
      </w:r>
      <w:r>
        <w:rPr>
          <w:rFonts w:ascii="Calibri" w:hAnsi="Calibri"/>
          <w:color w:val="000000"/>
        </w:rPr>
        <w:lastRenderedPageBreak/>
        <w:t xml:space="preserve">calculation produced a column series of </w:t>
      </w:r>
      <w:r w:rsidR="00E1141E" w:rsidRPr="00E1141E">
        <w:rPr>
          <w:rFonts w:ascii="Calibri" w:hAnsi="Calibri"/>
          <w:i/>
          <w:color w:val="000000"/>
        </w:rPr>
        <w:t>T</w:t>
      </w:r>
      <w:r>
        <w:rPr>
          <w:rFonts w:ascii="Calibri" w:hAnsi="Calibri"/>
          <w:color w:val="000000"/>
        </w:rPr>
        <w:t xml:space="preserve"> observations between -1 and +1, where </w:t>
      </w:r>
      <w:r w:rsidR="00E1141E" w:rsidRPr="00E1141E">
        <w:rPr>
          <w:rFonts w:ascii="Calibri" w:hAnsi="Calibri"/>
          <w:i/>
          <w:color w:val="000000"/>
        </w:rPr>
        <w:t>T</w:t>
      </w:r>
      <w:r>
        <w:rPr>
          <w:rFonts w:ascii="Calibri" w:hAnsi="Calibri"/>
          <w:color w:val="000000"/>
        </w:rPr>
        <w:t xml:space="preserve"> is the sample size. Positive values indicate </w:t>
      </w:r>
      <w:r w:rsidR="00215CAE">
        <w:rPr>
          <w:rFonts w:ascii="Calibri" w:hAnsi="Calibri"/>
          <w:color w:val="000000"/>
        </w:rPr>
        <w:t xml:space="preserve">a </w:t>
      </w:r>
      <w:r>
        <w:rPr>
          <w:rFonts w:ascii="Calibri" w:hAnsi="Calibri"/>
          <w:color w:val="000000"/>
        </w:rPr>
        <w:t>tendency towards synchronization</w:t>
      </w:r>
      <w:r w:rsidR="00215CAE">
        <w:rPr>
          <w:rFonts w:ascii="Calibri" w:hAnsi="Calibri"/>
          <w:color w:val="000000"/>
        </w:rPr>
        <w:t>,</w:t>
      </w:r>
      <w:r>
        <w:rPr>
          <w:rFonts w:ascii="Calibri" w:hAnsi="Calibri"/>
          <w:color w:val="000000"/>
        </w:rPr>
        <w:t xml:space="preserve"> whereas negative values indicate the opposite. The multivariate SR is computed as the count of the positive averages over the total of all averages (positive and negative).</w:t>
      </w:r>
      <w:r w:rsidR="00B840F3">
        <w:rPr>
          <w:rFonts w:ascii="Calibri" w:hAnsi="Calibri"/>
          <w:color w:val="000000"/>
        </w:rPr>
        <w:t xml:space="preserve"> The same benchmarks are used for classification.</w:t>
      </w:r>
      <w:r w:rsidR="005C593A">
        <w:rPr>
          <w:rFonts w:ascii="Calibri" w:hAnsi="Calibri"/>
          <w:color w:val="000000"/>
        </w:rPr>
        <w:t xml:space="preserve"> Unless otherwise specified, the synchronicity results hereafter are expressed in percentage terms.</w:t>
      </w:r>
    </w:p>
    <w:p w:rsidR="00215CAE" w:rsidRDefault="00BB4EEE" w:rsidP="00B840F3">
      <w:pPr>
        <w:rPr>
          <w:rFonts w:ascii="Calibri" w:hAnsi="Calibri"/>
          <w:color w:val="000000"/>
        </w:rPr>
      </w:pPr>
      <w:r>
        <w:rPr>
          <w:rFonts w:ascii="Calibri" w:hAnsi="Calibri"/>
          <w:color w:val="000000"/>
        </w:rPr>
        <w:t>Tables 2 to 9</w:t>
      </w:r>
      <w:r w:rsidR="00FC02F8">
        <w:rPr>
          <w:rFonts w:ascii="Calibri" w:hAnsi="Calibri"/>
          <w:color w:val="000000"/>
        </w:rPr>
        <w:t xml:space="preserve"> display the SR for both the </w:t>
      </w:r>
      <w:r w:rsidR="00B840F3" w:rsidRPr="00C4732F">
        <w:rPr>
          <w:rFonts w:ascii="Calibri" w:hAnsi="Calibri"/>
          <w:color w:val="000000"/>
        </w:rPr>
        <w:t>bivariate</w:t>
      </w:r>
      <w:r w:rsidR="00FC02F8">
        <w:rPr>
          <w:rFonts w:ascii="Calibri" w:hAnsi="Calibri"/>
          <w:color w:val="000000"/>
        </w:rPr>
        <w:t xml:space="preserve"> and the multivariate synchronicity measures based on returns and volatilities. We also explore whether expectations of </w:t>
      </w:r>
      <w:r w:rsidR="00B03595">
        <w:rPr>
          <w:rFonts w:ascii="Calibri" w:hAnsi="Calibri"/>
          <w:color w:val="000000"/>
        </w:rPr>
        <w:t>an</w:t>
      </w:r>
      <w:r w:rsidR="00FC02F8">
        <w:rPr>
          <w:rFonts w:ascii="Calibri" w:hAnsi="Calibri"/>
          <w:color w:val="000000"/>
        </w:rPr>
        <w:t xml:space="preserve"> oil price change or past </w:t>
      </w:r>
      <w:r w:rsidR="00F54E47">
        <w:rPr>
          <w:rFonts w:ascii="Calibri" w:hAnsi="Calibri"/>
          <w:color w:val="000000"/>
        </w:rPr>
        <w:t>disturbances to</w:t>
      </w:r>
      <w:r w:rsidR="00FC02F8">
        <w:rPr>
          <w:rFonts w:ascii="Calibri" w:hAnsi="Calibri"/>
          <w:color w:val="000000"/>
        </w:rPr>
        <w:t xml:space="preserve"> oil prices carry effects into the future that investors </w:t>
      </w:r>
      <w:r w:rsidR="00215CAE">
        <w:rPr>
          <w:rFonts w:ascii="Calibri" w:hAnsi="Calibri"/>
          <w:color w:val="000000"/>
        </w:rPr>
        <w:t xml:space="preserve">should </w:t>
      </w:r>
      <w:r w:rsidR="00FC02F8">
        <w:rPr>
          <w:rFonts w:ascii="Calibri" w:hAnsi="Calibri"/>
          <w:color w:val="000000"/>
        </w:rPr>
        <w:t xml:space="preserve">take into consideration in </w:t>
      </w:r>
      <w:r w:rsidR="00B03595">
        <w:rPr>
          <w:rFonts w:ascii="Calibri" w:hAnsi="Calibri"/>
          <w:color w:val="000000"/>
        </w:rPr>
        <w:t>purchasing stocks</w:t>
      </w:r>
      <w:r w:rsidR="008D6480">
        <w:rPr>
          <w:rFonts w:ascii="Calibri" w:hAnsi="Calibri"/>
          <w:color w:val="000000"/>
        </w:rPr>
        <w:t xml:space="preserve">. </w:t>
      </w:r>
      <w:r w:rsidR="007A6193">
        <w:rPr>
          <w:rFonts w:ascii="Calibri" w:hAnsi="Calibri"/>
          <w:color w:val="000000"/>
        </w:rPr>
        <w:t>To that effect, t</w:t>
      </w:r>
      <w:r w:rsidR="008D6480">
        <w:rPr>
          <w:rFonts w:ascii="Calibri" w:hAnsi="Calibri"/>
          <w:color w:val="000000"/>
        </w:rPr>
        <w:t>he</w:t>
      </w:r>
      <w:r w:rsidR="00B03595">
        <w:rPr>
          <w:rFonts w:ascii="Calibri" w:hAnsi="Calibri"/>
          <w:color w:val="000000"/>
        </w:rPr>
        <w:t xml:space="preserve"> </w:t>
      </w:r>
      <w:r w:rsidR="008D6480">
        <w:rPr>
          <w:rFonts w:ascii="Calibri" w:hAnsi="Calibri"/>
          <w:color w:val="000000"/>
        </w:rPr>
        <w:t xml:space="preserve">tables also present the </w:t>
      </w:r>
      <w:r w:rsidR="00A33E08">
        <w:rPr>
          <w:rFonts w:ascii="Calibri" w:hAnsi="Calibri"/>
          <w:color w:val="000000"/>
        </w:rPr>
        <w:t xml:space="preserve">synchronicity </w:t>
      </w:r>
      <w:r w:rsidR="008D6480">
        <w:rPr>
          <w:rFonts w:ascii="Calibri" w:hAnsi="Calibri"/>
          <w:color w:val="000000"/>
        </w:rPr>
        <w:t xml:space="preserve">results </w:t>
      </w:r>
      <w:r w:rsidR="00A33E08">
        <w:rPr>
          <w:rFonts w:ascii="Calibri" w:hAnsi="Calibri"/>
          <w:color w:val="000000"/>
        </w:rPr>
        <w:t>document</w:t>
      </w:r>
      <w:r w:rsidR="008D6480">
        <w:rPr>
          <w:rFonts w:ascii="Calibri" w:hAnsi="Calibri"/>
          <w:color w:val="000000"/>
        </w:rPr>
        <w:t>ing</w:t>
      </w:r>
      <w:r w:rsidR="00A33E08">
        <w:rPr>
          <w:rFonts w:ascii="Calibri" w:hAnsi="Calibri"/>
          <w:color w:val="000000"/>
        </w:rPr>
        <w:t xml:space="preserve"> the association between </w:t>
      </w:r>
      <w:r w:rsidR="00B03595">
        <w:rPr>
          <w:rFonts w:ascii="Calibri" w:hAnsi="Calibri"/>
          <w:color w:val="000000"/>
        </w:rPr>
        <w:t>lead and lagged oil price return cycles</w:t>
      </w:r>
      <w:r w:rsidR="00A33E08">
        <w:rPr>
          <w:rFonts w:ascii="Calibri" w:hAnsi="Calibri"/>
          <w:color w:val="000000"/>
        </w:rPr>
        <w:t xml:space="preserve"> </w:t>
      </w:r>
      <w:r w:rsidR="00B03595">
        <w:rPr>
          <w:rFonts w:ascii="Calibri" w:hAnsi="Calibri"/>
          <w:color w:val="000000"/>
        </w:rPr>
        <w:t>with contemporaneous</w:t>
      </w:r>
      <w:r w:rsidR="00A33E08">
        <w:rPr>
          <w:rFonts w:ascii="Calibri" w:hAnsi="Calibri"/>
          <w:color w:val="000000"/>
        </w:rPr>
        <w:t xml:space="preserve"> stock market return </w:t>
      </w:r>
      <w:r w:rsidR="005A4B51">
        <w:rPr>
          <w:rFonts w:ascii="Calibri" w:hAnsi="Calibri"/>
          <w:color w:val="000000"/>
        </w:rPr>
        <w:t xml:space="preserve">(volatility) </w:t>
      </w:r>
      <w:r w:rsidR="00A33E08">
        <w:rPr>
          <w:rFonts w:ascii="Calibri" w:hAnsi="Calibri"/>
          <w:color w:val="000000"/>
        </w:rPr>
        <w:t>cycles</w:t>
      </w:r>
      <w:r w:rsidR="00B03595">
        <w:rPr>
          <w:rFonts w:ascii="Calibri" w:hAnsi="Calibri"/>
          <w:color w:val="000000"/>
        </w:rPr>
        <w:t xml:space="preserve">. </w:t>
      </w:r>
      <w:r w:rsidR="0091770D">
        <w:rPr>
          <w:rFonts w:ascii="Calibri" w:hAnsi="Calibri"/>
          <w:color w:val="000000"/>
        </w:rPr>
        <w:t>At the sectoral level, w</w:t>
      </w:r>
      <w:r w:rsidR="007A6193">
        <w:rPr>
          <w:rFonts w:ascii="Calibri" w:hAnsi="Calibri"/>
          <w:color w:val="000000"/>
        </w:rPr>
        <w:t>e find contemporaneous synchronicity</w:t>
      </w:r>
      <w:r w:rsidR="0091770D">
        <w:rPr>
          <w:rFonts w:ascii="Calibri" w:hAnsi="Calibri"/>
          <w:color w:val="000000"/>
        </w:rPr>
        <w:t xml:space="preserve"> with oil price</w:t>
      </w:r>
      <w:r w:rsidR="00CF5FDB">
        <w:rPr>
          <w:rFonts w:ascii="Calibri" w:hAnsi="Calibri"/>
          <w:color w:val="000000"/>
        </w:rPr>
        <w:t xml:space="preserve"> based on returns</w:t>
      </w:r>
      <w:r w:rsidR="0091770D">
        <w:rPr>
          <w:rFonts w:ascii="Calibri" w:hAnsi="Calibri"/>
          <w:color w:val="000000"/>
        </w:rPr>
        <w:t xml:space="preserve"> </w:t>
      </w:r>
      <w:r w:rsidR="00215CAE">
        <w:rPr>
          <w:rFonts w:ascii="Calibri" w:hAnsi="Calibri"/>
          <w:color w:val="000000"/>
        </w:rPr>
        <w:t>covers a range of values as follows:</w:t>
      </w:r>
    </w:p>
    <w:p w:rsidR="00C95ED6" w:rsidRDefault="00E1141E">
      <w:pPr>
        <w:pStyle w:val="ListParagraph"/>
        <w:numPr>
          <w:ilvl w:val="0"/>
          <w:numId w:val="6"/>
        </w:numPr>
        <w:rPr>
          <w:rFonts w:ascii="Calibri" w:hAnsi="Calibri"/>
          <w:color w:val="000000"/>
        </w:rPr>
      </w:pPr>
      <w:r w:rsidRPr="00E1141E">
        <w:rPr>
          <w:rFonts w:ascii="Calibri" w:hAnsi="Calibri"/>
          <w:color w:val="000000"/>
        </w:rPr>
        <w:t xml:space="preserve">from 49 (commercial banks/investment) to 52 (insurance) for Bahrain, </w:t>
      </w:r>
    </w:p>
    <w:p w:rsidR="00C95ED6" w:rsidRDefault="00E1141E">
      <w:pPr>
        <w:pStyle w:val="ListParagraph"/>
        <w:numPr>
          <w:ilvl w:val="0"/>
          <w:numId w:val="6"/>
        </w:numPr>
        <w:rPr>
          <w:rFonts w:ascii="Calibri" w:hAnsi="Calibri"/>
          <w:color w:val="000000"/>
        </w:rPr>
      </w:pPr>
      <w:r w:rsidRPr="00E1141E">
        <w:rPr>
          <w:rFonts w:ascii="Calibri" w:hAnsi="Calibri"/>
          <w:color w:val="000000"/>
        </w:rPr>
        <w:t>from 47 (Kuwait companies) to 50 (banks/ food) for Kuwait,</w:t>
      </w:r>
    </w:p>
    <w:p w:rsidR="00C95ED6" w:rsidRDefault="00E1141E">
      <w:pPr>
        <w:pStyle w:val="ListParagraph"/>
        <w:numPr>
          <w:ilvl w:val="0"/>
          <w:numId w:val="6"/>
        </w:numPr>
        <w:rPr>
          <w:rFonts w:ascii="Calibri" w:hAnsi="Calibri"/>
          <w:color w:val="000000"/>
        </w:rPr>
      </w:pPr>
      <w:r w:rsidRPr="00E1141E">
        <w:rPr>
          <w:rFonts w:ascii="Calibri" w:hAnsi="Calibri"/>
          <w:color w:val="000000"/>
        </w:rPr>
        <w:t xml:space="preserve">from 50 (banking and investment) to 51 (services and insurance/industry) for Oman, </w:t>
      </w:r>
    </w:p>
    <w:p w:rsidR="00C95ED6" w:rsidRDefault="00E1141E">
      <w:pPr>
        <w:pStyle w:val="ListParagraph"/>
        <w:numPr>
          <w:ilvl w:val="0"/>
          <w:numId w:val="6"/>
        </w:numPr>
        <w:rPr>
          <w:rFonts w:ascii="Calibri" w:hAnsi="Calibri"/>
          <w:color w:val="000000"/>
        </w:rPr>
      </w:pPr>
      <w:r w:rsidRPr="00E1141E">
        <w:rPr>
          <w:rFonts w:ascii="Calibri" w:hAnsi="Calibri"/>
          <w:color w:val="000000"/>
        </w:rPr>
        <w:t xml:space="preserve">from 48 (insurance) to 53 (industry) for Qatar, </w:t>
      </w:r>
    </w:p>
    <w:p w:rsidR="00C95ED6" w:rsidRDefault="00E1141E">
      <w:pPr>
        <w:pStyle w:val="ListParagraph"/>
        <w:numPr>
          <w:ilvl w:val="0"/>
          <w:numId w:val="6"/>
        </w:numPr>
        <w:rPr>
          <w:rFonts w:ascii="Calibri" w:hAnsi="Calibri"/>
          <w:color w:val="000000"/>
        </w:rPr>
      </w:pPr>
      <w:r w:rsidRPr="00E1141E">
        <w:rPr>
          <w:rFonts w:ascii="Calibri" w:hAnsi="Calibri"/>
          <w:color w:val="000000"/>
        </w:rPr>
        <w:t xml:space="preserve">from 44 (cement) to 54 (petrochemicals and retail) for Saudi Arabia, </w:t>
      </w:r>
    </w:p>
    <w:p w:rsidR="00C95ED6" w:rsidRDefault="00E1141E">
      <w:pPr>
        <w:pStyle w:val="ListParagraph"/>
        <w:numPr>
          <w:ilvl w:val="0"/>
          <w:numId w:val="6"/>
        </w:numPr>
        <w:rPr>
          <w:rFonts w:ascii="Calibri" w:hAnsi="Calibri"/>
          <w:color w:val="000000"/>
        </w:rPr>
      </w:pPr>
      <w:r w:rsidRPr="00E1141E">
        <w:rPr>
          <w:rFonts w:ascii="Calibri" w:hAnsi="Calibri"/>
          <w:color w:val="000000"/>
        </w:rPr>
        <w:t xml:space="preserve">from 47 (energy and real estate) to 52 (healthcare) for UAE–Abu Dhabi, </w:t>
      </w:r>
    </w:p>
    <w:p w:rsidR="00C95ED6" w:rsidRDefault="00E1141E">
      <w:pPr>
        <w:pStyle w:val="ListParagraph"/>
        <w:numPr>
          <w:ilvl w:val="0"/>
          <w:numId w:val="6"/>
        </w:numPr>
        <w:rPr>
          <w:rFonts w:ascii="Calibri" w:hAnsi="Calibri"/>
          <w:color w:val="000000"/>
        </w:rPr>
      </w:pPr>
      <w:r w:rsidRPr="00E1141E">
        <w:rPr>
          <w:rFonts w:ascii="Calibri" w:hAnsi="Calibri"/>
          <w:color w:val="000000"/>
        </w:rPr>
        <w:t xml:space="preserve">from 43 (real estate) to 52 (consumer staples) for UAE–Dubai, </w:t>
      </w:r>
    </w:p>
    <w:p w:rsidR="00C95ED6" w:rsidRDefault="00E1141E">
      <w:pPr>
        <w:pStyle w:val="ListParagraph"/>
        <w:numPr>
          <w:ilvl w:val="0"/>
          <w:numId w:val="6"/>
        </w:numPr>
        <w:rPr>
          <w:rFonts w:ascii="Calibri" w:hAnsi="Calibri"/>
          <w:color w:val="000000"/>
        </w:rPr>
      </w:pPr>
      <w:r w:rsidRPr="00E1141E">
        <w:rPr>
          <w:rFonts w:ascii="Calibri" w:hAnsi="Calibri"/>
          <w:color w:val="000000"/>
        </w:rPr>
        <w:t xml:space="preserve">from 46 (real estate) to 53 (non-cyclical goods/utilities) for the entire GCC. </w:t>
      </w:r>
    </w:p>
    <w:p w:rsidR="00DC2516" w:rsidRDefault="00DC2516" w:rsidP="00B840F3">
      <w:pPr>
        <w:rPr>
          <w:rFonts w:ascii="Calibri" w:hAnsi="Calibri"/>
          <w:color w:val="000000"/>
        </w:rPr>
      </w:pPr>
      <w:r>
        <w:rPr>
          <w:rFonts w:ascii="Calibri" w:hAnsi="Calibri"/>
          <w:color w:val="000000"/>
        </w:rPr>
        <w:t>At the country</w:t>
      </w:r>
      <w:r w:rsidR="00215CAE">
        <w:rPr>
          <w:rFonts w:ascii="Calibri" w:hAnsi="Calibri"/>
          <w:color w:val="000000"/>
        </w:rPr>
        <w:t xml:space="preserve"> </w:t>
      </w:r>
      <w:r>
        <w:rPr>
          <w:rFonts w:ascii="Calibri" w:hAnsi="Calibri"/>
          <w:color w:val="000000"/>
        </w:rPr>
        <w:t xml:space="preserve">level, the overall </w:t>
      </w:r>
      <w:r w:rsidR="00DC0FD1">
        <w:rPr>
          <w:rFonts w:ascii="Calibri" w:hAnsi="Calibri"/>
          <w:color w:val="000000"/>
        </w:rPr>
        <w:t>indices</w:t>
      </w:r>
      <w:r>
        <w:rPr>
          <w:rFonts w:ascii="Calibri" w:hAnsi="Calibri"/>
          <w:color w:val="000000"/>
        </w:rPr>
        <w:t xml:space="preserve"> synchronicity with oil price stands at 50 (Bahrain), 49 (Kuwait), Oman (50), 48 (Qatar), 49 (Saudi Arabia), 46 (UAE</w:t>
      </w:r>
      <w:r w:rsidR="00215CAE">
        <w:rPr>
          <w:rFonts w:ascii="Calibri" w:hAnsi="Calibri"/>
          <w:color w:val="000000"/>
        </w:rPr>
        <w:t>–</w:t>
      </w:r>
      <w:r>
        <w:rPr>
          <w:rFonts w:ascii="Calibri" w:hAnsi="Calibri"/>
          <w:color w:val="000000"/>
        </w:rPr>
        <w:t>Abu Dhabi) and 45 (UAE</w:t>
      </w:r>
      <w:r w:rsidR="00215CAE">
        <w:rPr>
          <w:rFonts w:ascii="Calibri" w:hAnsi="Calibri"/>
          <w:color w:val="000000"/>
        </w:rPr>
        <w:t>–</w:t>
      </w:r>
      <w:r>
        <w:rPr>
          <w:rFonts w:ascii="Calibri" w:hAnsi="Calibri"/>
          <w:color w:val="000000"/>
        </w:rPr>
        <w:t>Dubai)</w:t>
      </w:r>
      <w:r w:rsidR="007669F1">
        <w:rPr>
          <w:rFonts w:ascii="Calibri" w:hAnsi="Calibri"/>
          <w:color w:val="000000"/>
        </w:rPr>
        <w:t>. Results based on lead and lagged oil price return cycle</w:t>
      </w:r>
      <w:r w:rsidR="00215CAE">
        <w:rPr>
          <w:rFonts w:ascii="Calibri" w:hAnsi="Calibri"/>
          <w:color w:val="000000"/>
        </w:rPr>
        <w:t>s</w:t>
      </w:r>
      <w:r w:rsidR="007669F1">
        <w:rPr>
          <w:rFonts w:ascii="Calibri" w:hAnsi="Calibri"/>
          <w:color w:val="000000"/>
        </w:rPr>
        <w:t xml:space="preserve"> do not differ much from the contemporaneous synchronicity results, which suggest that there is a mild association between the crude oil and stock markets.</w:t>
      </w:r>
    </w:p>
    <w:p w:rsidR="00BB4EEE" w:rsidRPr="00BB4EEE" w:rsidRDefault="00BB4EEE" w:rsidP="005E6E47">
      <w:pPr>
        <w:outlineLvl w:val="0"/>
        <w:rPr>
          <w:rFonts w:ascii="Calibri" w:hAnsi="Calibri"/>
          <w:b/>
          <w:color w:val="000000"/>
        </w:rPr>
      </w:pPr>
      <w:r w:rsidRPr="00BB4EEE">
        <w:rPr>
          <w:rFonts w:ascii="Calibri" w:hAnsi="Calibri"/>
          <w:b/>
          <w:color w:val="000000"/>
        </w:rPr>
        <w:t>Tables 2 to 9 about here</w:t>
      </w:r>
    </w:p>
    <w:p w:rsidR="00215CAE" w:rsidRDefault="008F77F7" w:rsidP="00B840F3">
      <w:pPr>
        <w:rPr>
          <w:rFonts w:ascii="Calibri" w:hAnsi="Calibri"/>
          <w:color w:val="000000"/>
        </w:rPr>
      </w:pPr>
      <w:r>
        <w:rPr>
          <w:rFonts w:ascii="Calibri" w:hAnsi="Calibri"/>
          <w:color w:val="000000"/>
        </w:rPr>
        <w:t>Contemporaneous volatility synchronicity results based on 10- and 50-day rolling windows are</w:t>
      </w:r>
      <w:r w:rsidR="00215CAE">
        <w:rPr>
          <w:rFonts w:ascii="Calibri" w:hAnsi="Calibri"/>
          <w:color w:val="000000"/>
        </w:rPr>
        <w:t>,</w:t>
      </w:r>
      <w:r>
        <w:rPr>
          <w:rFonts w:ascii="Calibri" w:hAnsi="Calibri"/>
          <w:color w:val="000000"/>
        </w:rPr>
        <w:t xml:space="preserve"> on average</w:t>
      </w:r>
      <w:r w:rsidR="00215CAE">
        <w:rPr>
          <w:rFonts w:ascii="Calibri" w:hAnsi="Calibri"/>
          <w:color w:val="000000"/>
        </w:rPr>
        <w:t>,</w:t>
      </w:r>
      <w:r>
        <w:rPr>
          <w:rFonts w:ascii="Calibri" w:hAnsi="Calibri"/>
          <w:color w:val="000000"/>
        </w:rPr>
        <w:t xml:space="preserve"> higher than the return synchronicity. </w:t>
      </w:r>
      <w:r w:rsidR="005C593A">
        <w:rPr>
          <w:rFonts w:ascii="Calibri" w:hAnsi="Calibri"/>
          <w:color w:val="000000"/>
        </w:rPr>
        <w:t>We summarize the results using a bracket system where the first value corresponds to the 10-day volatility and the second value corresponds to the 50-day volatility. The same applies to the associated industries.</w:t>
      </w:r>
      <w:r>
        <w:rPr>
          <w:rFonts w:ascii="Calibri" w:hAnsi="Calibri"/>
          <w:color w:val="000000"/>
        </w:rPr>
        <w:t xml:space="preserve"> </w:t>
      </w:r>
      <w:r w:rsidR="005C593A">
        <w:rPr>
          <w:rFonts w:ascii="Calibri" w:hAnsi="Calibri"/>
          <w:color w:val="000000"/>
        </w:rPr>
        <w:t>W</w:t>
      </w:r>
      <w:r>
        <w:rPr>
          <w:rFonts w:ascii="Calibri" w:hAnsi="Calibri"/>
          <w:color w:val="000000"/>
        </w:rPr>
        <w:t xml:space="preserve">e find synchronicity </w:t>
      </w:r>
      <w:r w:rsidR="00215CAE">
        <w:rPr>
          <w:rFonts w:ascii="Calibri" w:hAnsi="Calibri"/>
          <w:color w:val="000000"/>
        </w:rPr>
        <w:t>as follows:</w:t>
      </w:r>
    </w:p>
    <w:p w:rsidR="00C95ED6" w:rsidRDefault="00E1141E">
      <w:pPr>
        <w:pStyle w:val="ListParagraph"/>
        <w:numPr>
          <w:ilvl w:val="0"/>
          <w:numId w:val="7"/>
        </w:numPr>
        <w:rPr>
          <w:rFonts w:ascii="Calibri" w:hAnsi="Calibri"/>
          <w:color w:val="000000"/>
        </w:rPr>
      </w:pPr>
      <w:r w:rsidRPr="00E1141E">
        <w:rPr>
          <w:rFonts w:ascii="Calibri" w:hAnsi="Calibri"/>
          <w:color w:val="000000"/>
        </w:rPr>
        <w:t xml:space="preserve">between (48, 49) (insurance, insurance) and (62, 63) (industry, investment) for Bahrain, </w:t>
      </w:r>
    </w:p>
    <w:p w:rsidR="00C95ED6" w:rsidRDefault="00E1141E">
      <w:pPr>
        <w:pStyle w:val="ListParagraph"/>
        <w:numPr>
          <w:ilvl w:val="0"/>
          <w:numId w:val="7"/>
        </w:numPr>
        <w:rPr>
          <w:rFonts w:ascii="Calibri" w:hAnsi="Calibri"/>
          <w:color w:val="000000"/>
        </w:rPr>
      </w:pPr>
      <w:r w:rsidRPr="00E1141E">
        <w:rPr>
          <w:rFonts w:ascii="Calibri" w:hAnsi="Calibri"/>
          <w:color w:val="000000"/>
        </w:rPr>
        <w:t xml:space="preserve">between (60, 56) (food, real estate and Kuwait companies) and (64, 63) (investment, food) for Kuwait, </w:t>
      </w:r>
    </w:p>
    <w:p w:rsidR="00C95ED6" w:rsidRDefault="00E1141E">
      <w:pPr>
        <w:pStyle w:val="ListParagraph"/>
        <w:numPr>
          <w:ilvl w:val="0"/>
          <w:numId w:val="7"/>
        </w:numPr>
        <w:rPr>
          <w:rFonts w:ascii="Calibri" w:hAnsi="Calibri"/>
          <w:color w:val="000000"/>
        </w:rPr>
      </w:pPr>
      <w:r w:rsidRPr="00E1141E">
        <w:rPr>
          <w:rFonts w:ascii="Calibri" w:hAnsi="Calibri"/>
          <w:color w:val="000000"/>
        </w:rPr>
        <w:t xml:space="preserve">between (60, 57) (services and insurance, industry) and (63, 62) (banking and investments, banking and investments) for Oman, </w:t>
      </w:r>
    </w:p>
    <w:p w:rsidR="00C95ED6" w:rsidRDefault="00E1141E">
      <w:pPr>
        <w:pStyle w:val="ListParagraph"/>
        <w:numPr>
          <w:ilvl w:val="0"/>
          <w:numId w:val="7"/>
        </w:numPr>
        <w:rPr>
          <w:rFonts w:ascii="Calibri" w:hAnsi="Calibri"/>
          <w:color w:val="000000"/>
        </w:rPr>
      </w:pPr>
      <w:r w:rsidRPr="00E1141E">
        <w:rPr>
          <w:rFonts w:ascii="Calibri" w:hAnsi="Calibri"/>
          <w:color w:val="000000"/>
        </w:rPr>
        <w:t xml:space="preserve">between (60, 40) (industry and services, services) and (62, 56) (banking and finance, insurance) for Qatar, </w:t>
      </w:r>
    </w:p>
    <w:p w:rsidR="00C95ED6" w:rsidRDefault="00E1141E">
      <w:pPr>
        <w:pStyle w:val="ListParagraph"/>
        <w:numPr>
          <w:ilvl w:val="0"/>
          <w:numId w:val="7"/>
        </w:numPr>
        <w:rPr>
          <w:rFonts w:ascii="Calibri" w:hAnsi="Calibri"/>
          <w:color w:val="000000"/>
        </w:rPr>
      </w:pPr>
      <w:r w:rsidRPr="00E1141E">
        <w:rPr>
          <w:rFonts w:ascii="Calibri" w:hAnsi="Calibri"/>
          <w:color w:val="000000"/>
        </w:rPr>
        <w:lastRenderedPageBreak/>
        <w:t xml:space="preserve">between (57, 53) (energy and utilities, energy and utilities) and (78, 73) (petrochemicals, agriculture and food/cement) for Saudi Arabia, </w:t>
      </w:r>
    </w:p>
    <w:p w:rsidR="00C95ED6" w:rsidRDefault="00E1141E">
      <w:pPr>
        <w:pStyle w:val="ListParagraph"/>
        <w:numPr>
          <w:ilvl w:val="0"/>
          <w:numId w:val="7"/>
        </w:numPr>
        <w:rPr>
          <w:rFonts w:ascii="Calibri" w:hAnsi="Calibri"/>
          <w:color w:val="000000"/>
        </w:rPr>
      </w:pPr>
      <w:r w:rsidRPr="00E1141E">
        <w:rPr>
          <w:rFonts w:ascii="Calibri" w:hAnsi="Calibri"/>
          <w:color w:val="000000"/>
        </w:rPr>
        <w:t xml:space="preserve">between (42, 27) (insurance, consumer goods) and (66, 53) (real estate, construction) for UAE–Abu Dhabi, between (52, 35) (insurance, insurance) and (69, 64) (financial investment, consumer staples/financial investment/transport) for UAE–Dubai, </w:t>
      </w:r>
    </w:p>
    <w:p w:rsidR="00C95ED6" w:rsidRDefault="00E1141E">
      <w:pPr>
        <w:pStyle w:val="ListParagraph"/>
        <w:numPr>
          <w:ilvl w:val="0"/>
          <w:numId w:val="7"/>
        </w:numPr>
        <w:rPr>
          <w:rFonts w:ascii="Calibri" w:hAnsi="Calibri"/>
          <w:color w:val="000000"/>
        </w:rPr>
      </w:pPr>
      <w:r w:rsidRPr="00E1141E">
        <w:rPr>
          <w:rFonts w:ascii="Calibri" w:hAnsi="Calibri"/>
          <w:color w:val="000000"/>
        </w:rPr>
        <w:t xml:space="preserve">between (64, 59) (cyclical goods, energy) to (76, 75) (banking and investment services, basic materials) for GCC as a whole. </w:t>
      </w:r>
    </w:p>
    <w:p w:rsidR="004843C9" w:rsidRDefault="00DB6E2F" w:rsidP="00B840F3">
      <w:pPr>
        <w:rPr>
          <w:rFonts w:ascii="Calibri" w:hAnsi="Calibri"/>
          <w:color w:val="000000"/>
        </w:rPr>
      </w:pPr>
      <w:r>
        <w:rPr>
          <w:rFonts w:ascii="Calibri" w:hAnsi="Calibri"/>
          <w:color w:val="000000"/>
        </w:rPr>
        <w:t>At the country level, the synchronicity values are</w:t>
      </w:r>
      <w:r w:rsidR="004B595F">
        <w:rPr>
          <w:rFonts w:ascii="Calibri" w:hAnsi="Calibri"/>
          <w:color w:val="000000"/>
        </w:rPr>
        <w:t>,</w:t>
      </w:r>
      <w:r>
        <w:rPr>
          <w:rFonts w:ascii="Calibri" w:hAnsi="Calibri"/>
          <w:color w:val="000000"/>
        </w:rPr>
        <w:t xml:space="preserve"> respectively</w:t>
      </w:r>
      <w:r w:rsidR="004B595F">
        <w:rPr>
          <w:rFonts w:ascii="Calibri" w:hAnsi="Calibri"/>
          <w:color w:val="000000"/>
        </w:rPr>
        <w:t>,</w:t>
      </w:r>
      <w:r>
        <w:rPr>
          <w:rFonts w:ascii="Calibri" w:hAnsi="Calibri"/>
          <w:color w:val="000000"/>
        </w:rPr>
        <w:t xml:space="preserve"> </w:t>
      </w:r>
      <w:r w:rsidR="001E1D19">
        <w:rPr>
          <w:rFonts w:ascii="Calibri" w:hAnsi="Calibri"/>
          <w:color w:val="000000"/>
        </w:rPr>
        <w:t>(</w:t>
      </w:r>
      <w:r>
        <w:rPr>
          <w:rFonts w:ascii="Calibri" w:hAnsi="Calibri"/>
          <w:color w:val="000000"/>
        </w:rPr>
        <w:t>59</w:t>
      </w:r>
      <w:r w:rsidR="001E1D19">
        <w:rPr>
          <w:rFonts w:ascii="Calibri" w:hAnsi="Calibri"/>
          <w:color w:val="000000"/>
        </w:rPr>
        <w:t>, 69)</w:t>
      </w:r>
      <w:r>
        <w:rPr>
          <w:rFonts w:ascii="Calibri" w:hAnsi="Calibri"/>
          <w:color w:val="000000"/>
        </w:rPr>
        <w:t xml:space="preserve">, </w:t>
      </w:r>
      <w:r w:rsidR="001E1D19">
        <w:rPr>
          <w:rFonts w:ascii="Calibri" w:hAnsi="Calibri"/>
          <w:color w:val="000000"/>
        </w:rPr>
        <w:t>(</w:t>
      </w:r>
      <w:r>
        <w:rPr>
          <w:rFonts w:ascii="Calibri" w:hAnsi="Calibri"/>
          <w:color w:val="000000"/>
        </w:rPr>
        <w:t>63</w:t>
      </w:r>
      <w:r w:rsidR="001E1D19">
        <w:rPr>
          <w:rFonts w:ascii="Calibri" w:hAnsi="Calibri"/>
          <w:color w:val="000000"/>
        </w:rPr>
        <w:t>, 71)</w:t>
      </w:r>
      <w:r>
        <w:rPr>
          <w:rFonts w:ascii="Calibri" w:hAnsi="Calibri"/>
          <w:color w:val="000000"/>
        </w:rPr>
        <w:t xml:space="preserve">, </w:t>
      </w:r>
      <w:r w:rsidR="001E1D19">
        <w:rPr>
          <w:rFonts w:ascii="Calibri" w:hAnsi="Calibri"/>
          <w:color w:val="000000"/>
        </w:rPr>
        <w:t>(</w:t>
      </w:r>
      <w:r>
        <w:rPr>
          <w:rFonts w:ascii="Calibri" w:hAnsi="Calibri"/>
          <w:color w:val="000000"/>
        </w:rPr>
        <w:t>61</w:t>
      </w:r>
      <w:r w:rsidR="001E1D19">
        <w:rPr>
          <w:rFonts w:ascii="Calibri" w:hAnsi="Calibri"/>
          <w:color w:val="000000"/>
        </w:rPr>
        <w:t>, 61)</w:t>
      </w:r>
      <w:r>
        <w:rPr>
          <w:rFonts w:ascii="Calibri" w:hAnsi="Calibri"/>
          <w:color w:val="000000"/>
        </w:rPr>
        <w:t xml:space="preserve">, </w:t>
      </w:r>
      <w:r w:rsidR="001E1D19">
        <w:rPr>
          <w:rFonts w:ascii="Calibri" w:hAnsi="Calibri"/>
          <w:color w:val="000000"/>
        </w:rPr>
        <w:t>(</w:t>
      </w:r>
      <w:r>
        <w:rPr>
          <w:rFonts w:ascii="Calibri" w:hAnsi="Calibri"/>
          <w:color w:val="000000"/>
        </w:rPr>
        <w:t>61</w:t>
      </w:r>
      <w:r w:rsidR="001E1D19">
        <w:rPr>
          <w:rFonts w:ascii="Calibri" w:hAnsi="Calibri"/>
          <w:color w:val="000000"/>
        </w:rPr>
        <w:t>, 47)</w:t>
      </w:r>
      <w:r>
        <w:rPr>
          <w:rFonts w:ascii="Calibri" w:hAnsi="Calibri"/>
          <w:color w:val="000000"/>
        </w:rPr>
        <w:t xml:space="preserve">, </w:t>
      </w:r>
      <w:r w:rsidR="001E1D19">
        <w:rPr>
          <w:rFonts w:ascii="Calibri" w:hAnsi="Calibri"/>
          <w:color w:val="000000"/>
        </w:rPr>
        <w:t>(</w:t>
      </w:r>
      <w:r>
        <w:rPr>
          <w:rFonts w:ascii="Calibri" w:hAnsi="Calibri"/>
          <w:color w:val="000000"/>
        </w:rPr>
        <w:t>78</w:t>
      </w:r>
      <w:r w:rsidR="001E1D19">
        <w:rPr>
          <w:rFonts w:ascii="Calibri" w:hAnsi="Calibri"/>
          <w:color w:val="000000"/>
        </w:rPr>
        <w:t>, 68)</w:t>
      </w:r>
      <w:r>
        <w:rPr>
          <w:rFonts w:ascii="Calibri" w:hAnsi="Calibri"/>
          <w:color w:val="000000"/>
        </w:rPr>
        <w:t xml:space="preserve">, </w:t>
      </w:r>
      <w:r w:rsidR="001E1D19">
        <w:rPr>
          <w:rFonts w:ascii="Calibri" w:hAnsi="Calibri"/>
          <w:color w:val="000000"/>
        </w:rPr>
        <w:t>(</w:t>
      </w:r>
      <w:r>
        <w:rPr>
          <w:rFonts w:ascii="Calibri" w:hAnsi="Calibri"/>
          <w:color w:val="000000"/>
        </w:rPr>
        <w:t>71</w:t>
      </w:r>
      <w:r w:rsidR="001E1D19">
        <w:rPr>
          <w:rFonts w:ascii="Calibri" w:hAnsi="Calibri"/>
          <w:color w:val="000000"/>
        </w:rPr>
        <w:t xml:space="preserve">, </w:t>
      </w:r>
      <w:r w:rsidR="0032760C">
        <w:rPr>
          <w:rFonts w:ascii="Calibri" w:hAnsi="Calibri"/>
          <w:color w:val="000000"/>
        </w:rPr>
        <w:t>54</w:t>
      </w:r>
      <w:r w:rsidR="001E1D19">
        <w:rPr>
          <w:rFonts w:ascii="Calibri" w:hAnsi="Calibri"/>
          <w:color w:val="000000"/>
        </w:rPr>
        <w:t>)</w:t>
      </w:r>
      <w:r>
        <w:rPr>
          <w:rFonts w:ascii="Calibri" w:hAnsi="Calibri"/>
          <w:color w:val="000000"/>
        </w:rPr>
        <w:t xml:space="preserve"> and </w:t>
      </w:r>
      <w:r w:rsidR="0032760C">
        <w:rPr>
          <w:rFonts w:ascii="Calibri" w:hAnsi="Calibri"/>
          <w:color w:val="000000"/>
        </w:rPr>
        <w:t>(</w:t>
      </w:r>
      <w:r>
        <w:rPr>
          <w:rFonts w:ascii="Calibri" w:hAnsi="Calibri"/>
          <w:color w:val="000000"/>
        </w:rPr>
        <w:t>67</w:t>
      </w:r>
      <w:r w:rsidR="0032760C">
        <w:rPr>
          <w:rFonts w:ascii="Calibri" w:hAnsi="Calibri"/>
          <w:color w:val="000000"/>
        </w:rPr>
        <w:t>, 63)</w:t>
      </w:r>
      <w:r>
        <w:rPr>
          <w:rFonts w:ascii="Calibri" w:hAnsi="Calibri"/>
          <w:color w:val="000000"/>
        </w:rPr>
        <w:t xml:space="preserve"> for Bahrain, Kuwait, Oman, Qatar, Saudi Arabia, UAE</w:t>
      </w:r>
      <w:r w:rsidR="004B595F">
        <w:rPr>
          <w:rFonts w:ascii="Calibri" w:hAnsi="Calibri"/>
          <w:color w:val="000000"/>
        </w:rPr>
        <w:t>–</w:t>
      </w:r>
      <w:r>
        <w:rPr>
          <w:rFonts w:ascii="Calibri" w:hAnsi="Calibri"/>
          <w:color w:val="000000"/>
        </w:rPr>
        <w:t>Abu Dhabi and UAE</w:t>
      </w:r>
      <w:r w:rsidR="004B595F">
        <w:rPr>
          <w:rFonts w:ascii="Calibri" w:hAnsi="Calibri"/>
          <w:color w:val="000000"/>
        </w:rPr>
        <w:t>–</w:t>
      </w:r>
      <w:r>
        <w:rPr>
          <w:rFonts w:ascii="Calibri" w:hAnsi="Calibri"/>
          <w:color w:val="000000"/>
        </w:rPr>
        <w:t xml:space="preserve">Dubai. </w:t>
      </w:r>
      <w:r w:rsidR="0032760C">
        <w:rPr>
          <w:rFonts w:ascii="Calibri" w:hAnsi="Calibri"/>
          <w:color w:val="000000"/>
        </w:rPr>
        <w:t xml:space="preserve"> </w:t>
      </w:r>
      <w:r w:rsidR="004B595F">
        <w:rPr>
          <w:rFonts w:ascii="Calibri" w:hAnsi="Calibri"/>
          <w:color w:val="000000"/>
        </w:rPr>
        <w:t>A</w:t>
      </w:r>
      <w:r w:rsidR="0032760C">
        <w:rPr>
          <w:rFonts w:ascii="Calibri" w:hAnsi="Calibri"/>
          <w:color w:val="000000"/>
        </w:rPr>
        <w:t xml:space="preserve"> number of insights can be gathered from the results as presented. First, we find evidence that the 10-day volatility association of the cycles is relatively s</w:t>
      </w:r>
      <w:r w:rsidR="00E2672E">
        <w:rPr>
          <w:rFonts w:ascii="Calibri" w:hAnsi="Calibri"/>
          <w:color w:val="000000"/>
        </w:rPr>
        <w:t>trong</w:t>
      </w:r>
      <w:r w:rsidR="004B595F">
        <w:rPr>
          <w:rFonts w:ascii="Calibri" w:hAnsi="Calibri"/>
          <w:color w:val="000000"/>
        </w:rPr>
        <w:t>,</w:t>
      </w:r>
      <w:r w:rsidR="00E2672E">
        <w:rPr>
          <w:rFonts w:ascii="Calibri" w:hAnsi="Calibri"/>
          <w:color w:val="000000"/>
        </w:rPr>
        <w:t xml:space="preserve"> as per our definition, </w:t>
      </w:r>
      <w:r w:rsidR="004B595F">
        <w:rPr>
          <w:rFonts w:ascii="Calibri" w:hAnsi="Calibri"/>
          <w:color w:val="000000"/>
        </w:rPr>
        <w:t xml:space="preserve">except </w:t>
      </w:r>
      <w:r w:rsidR="0032760C">
        <w:rPr>
          <w:rFonts w:ascii="Calibri" w:hAnsi="Calibri"/>
          <w:color w:val="000000"/>
        </w:rPr>
        <w:t xml:space="preserve">for Bahrain, for which it is mild. </w:t>
      </w:r>
      <w:r>
        <w:rPr>
          <w:rFonts w:ascii="Calibri" w:hAnsi="Calibri"/>
          <w:color w:val="000000"/>
        </w:rPr>
        <w:t xml:space="preserve"> </w:t>
      </w:r>
      <w:r w:rsidR="0032760C">
        <w:rPr>
          <w:rFonts w:ascii="Calibri" w:hAnsi="Calibri"/>
          <w:color w:val="000000"/>
        </w:rPr>
        <w:t xml:space="preserve">Second, the </w:t>
      </w:r>
      <w:r w:rsidR="00E2672E">
        <w:rPr>
          <w:rFonts w:ascii="Calibri" w:hAnsi="Calibri"/>
          <w:color w:val="000000"/>
        </w:rPr>
        <w:t xml:space="preserve">50-day volatility synchronicity fluctuates from low (35 in the case of Abu Dhabi’s insurance) to strong (75 in the case of the GCC’s basic materials). Third, the 10-day volatility associations are greater than those of the 50-day volatility, </w:t>
      </w:r>
      <w:r w:rsidR="004B595F">
        <w:rPr>
          <w:rFonts w:ascii="Calibri" w:hAnsi="Calibri"/>
          <w:color w:val="000000"/>
        </w:rPr>
        <w:t xml:space="preserve">except </w:t>
      </w:r>
      <w:r w:rsidR="00E2672E">
        <w:rPr>
          <w:rFonts w:ascii="Calibri" w:hAnsi="Calibri"/>
          <w:color w:val="000000"/>
        </w:rPr>
        <w:t>for Bahrain’s insurance sector</w:t>
      </w:r>
      <w:r w:rsidR="00812268">
        <w:rPr>
          <w:rFonts w:ascii="Calibri" w:hAnsi="Calibri"/>
          <w:color w:val="000000"/>
        </w:rPr>
        <w:t xml:space="preserve">. At the country level, the results suggest that volatility synchronicity </w:t>
      </w:r>
      <w:r w:rsidR="006B63B3">
        <w:rPr>
          <w:rFonts w:ascii="Calibri" w:hAnsi="Calibri"/>
          <w:color w:val="000000"/>
        </w:rPr>
        <w:t xml:space="preserve">ranges from mild to strong, and when the two measures are compared </w:t>
      </w:r>
      <w:r w:rsidR="00812268">
        <w:rPr>
          <w:rFonts w:ascii="Calibri" w:hAnsi="Calibri"/>
          <w:color w:val="000000"/>
        </w:rPr>
        <w:t xml:space="preserve">in terms of </w:t>
      </w:r>
      <w:r w:rsidR="006B63B3">
        <w:rPr>
          <w:rFonts w:ascii="Calibri" w:hAnsi="Calibri"/>
          <w:color w:val="000000"/>
        </w:rPr>
        <w:t xml:space="preserve">their </w:t>
      </w:r>
      <w:r w:rsidR="00812268">
        <w:rPr>
          <w:rFonts w:ascii="Calibri" w:hAnsi="Calibri"/>
          <w:color w:val="000000"/>
        </w:rPr>
        <w:t>relative magnitude</w:t>
      </w:r>
      <w:r w:rsidR="006B63B3">
        <w:rPr>
          <w:rFonts w:ascii="Calibri" w:hAnsi="Calibri"/>
          <w:color w:val="000000"/>
        </w:rPr>
        <w:t>, the outcome is mixed</w:t>
      </w:r>
      <w:r w:rsidR="00812268">
        <w:rPr>
          <w:rFonts w:ascii="Calibri" w:hAnsi="Calibri"/>
          <w:color w:val="000000"/>
        </w:rPr>
        <w:t>. For some countries (Bahrain and Kuwait)</w:t>
      </w:r>
      <w:r w:rsidR="004B595F">
        <w:rPr>
          <w:rFonts w:ascii="Calibri" w:hAnsi="Calibri"/>
          <w:color w:val="000000"/>
        </w:rPr>
        <w:t>,</w:t>
      </w:r>
      <w:r w:rsidR="00812268">
        <w:rPr>
          <w:rFonts w:ascii="Calibri" w:hAnsi="Calibri"/>
          <w:color w:val="000000"/>
        </w:rPr>
        <w:t xml:space="preserve"> the 50-day volatility dominates</w:t>
      </w:r>
      <w:r w:rsidR="004B595F">
        <w:rPr>
          <w:rFonts w:ascii="Calibri" w:hAnsi="Calibri"/>
          <w:color w:val="000000"/>
        </w:rPr>
        <w:t>;</w:t>
      </w:r>
      <w:r w:rsidR="00812268">
        <w:rPr>
          <w:rFonts w:ascii="Calibri" w:hAnsi="Calibri"/>
          <w:color w:val="000000"/>
        </w:rPr>
        <w:t xml:space="preserve"> for other countries of the group, it is the 10-day volatility</w:t>
      </w:r>
      <w:r w:rsidR="006B63B3">
        <w:rPr>
          <w:rFonts w:ascii="Calibri" w:hAnsi="Calibri"/>
          <w:color w:val="000000"/>
        </w:rPr>
        <w:t xml:space="preserve"> that shows more associations</w:t>
      </w:r>
      <w:r w:rsidR="00812268">
        <w:rPr>
          <w:rFonts w:ascii="Calibri" w:hAnsi="Calibri"/>
          <w:color w:val="000000"/>
        </w:rPr>
        <w:t>. For Oman,</w:t>
      </w:r>
      <w:r w:rsidR="006B63B3">
        <w:rPr>
          <w:rFonts w:ascii="Calibri" w:hAnsi="Calibri"/>
          <w:color w:val="000000"/>
        </w:rPr>
        <w:t xml:space="preserve"> however,</w:t>
      </w:r>
      <w:r w:rsidR="00812268">
        <w:rPr>
          <w:rFonts w:ascii="Calibri" w:hAnsi="Calibri"/>
          <w:color w:val="000000"/>
        </w:rPr>
        <w:t xml:space="preserve"> there is no difference. </w:t>
      </w:r>
      <w:r w:rsidR="006B63B3">
        <w:rPr>
          <w:rFonts w:ascii="Calibri" w:hAnsi="Calibri"/>
          <w:color w:val="000000"/>
        </w:rPr>
        <w:t xml:space="preserve">The overall results do not differ much when we focus on the synchronicity between </w:t>
      </w:r>
      <w:r w:rsidR="004B595F">
        <w:rPr>
          <w:rFonts w:ascii="Calibri" w:hAnsi="Calibri"/>
          <w:color w:val="000000"/>
        </w:rPr>
        <w:t xml:space="preserve">the </w:t>
      </w:r>
      <w:r w:rsidR="006B63B3">
        <w:rPr>
          <w:rFonts w:ascii="Calibri" w:hAnsi="Calibri"/>
          <w:color w:val="000000"/>
        </w:rPr>
        <w:t xml:space="preserve">contemporaneous stock market volatility cycle and </w:t>
      </w:r>
      <w:r w:rsidR="004B595F">
        <w:rPr>
          <w:rFonts w:ascii="Calibri" w:hAnsi="Calibri"/>
          <w:color w:val="000000"/>
        </w:rPr>
        <w:t xml:space="preserve">the </w:t>
      </w:r>
      <w:r w:rsidR="006B63B3">
        <w:rPr>
          <w:rFonts w:ascii="Calibri" w:hAnsi="Calibri"/>
          <w:color w:val="000000"/>
        </w:rPr>
        <w:t xml:space="preserve">oil price return volatility cycle </w:t>
      </w:r>
      <w:r w:rsidR="004B595F">
        <w:rPr>
          <w:rFonts w:ascii="Calibri" w:hAnsi="Calibri"/>
          <w:color w:val="000000"/>
        </w:rPr>
        <w:t xml:space="preserve">during </w:t>
      </w:r>
      <w:r w:rsidR="006B63B3">
        <w:rPr>
          <w:rFonts w:ascii="Calibri" w:hAnsi="Calibri"/>
          <w:color w:val="000000"/>
        </w:rPr>
        <w:t xml:space="preserve">period </w:t>
      </w:r>
      <w:r w:rsidR="00E1141E" w:rsidRPr="00E1141E">
        <w:rPr>
          <w:rFonts w:ascii="Calibri" w:hAnsi="Calibri"/>
          <w:i/>
          <w:color w:val="000000"/>
        </w:rPr>
        <w:t>t</w:t>
      </w:r>
      <w:r w:rsidR="003B73D2">
        <w:rPr>
          <w:rFonts w:ascii="Calibri" w:hAnsi="Calibri"/>
          <w:color w:val="000000"/>
        </w:rPr>
        <w:t>+1 or</w:t>
      </w:r>
      <w:r w:rsidR="008F453F">
        <w:rPr>
          <w:rFonts w:ascii="Calibri" w:hAnsi="Calibri"/>
          <w:color w:val="000000"/>
        </w:rPr>
        <w:t xml:space="preserve"> </w:t>
      </w:r>
      <w:r w:rsidR="00E1141E" w:rsidRPr="00E1141E">
        <w:rPr>
          <w:rFonts w:ascii="Calibri" w:hAnsi="Calibri"/>
          <w:i/>
          <w:color w:val="000000"/>
        </w:rPr>
        <w:t>t</w:t>
      </w:r>
      <w:r w:rsidR="008F453F">
        <w:rPr>
          <w:rFonts w:ascii="Calibri" w:hAnsi="Calibri"/>
          <w:color w:val="000000"/>
        </w:rPr>
        <w:t>-1. Nonetheless, we find a clear dominance of the 10-day volatility over the 50-day volatility for Qatar, UAE</w:t>
      </w:r>
      <w:r w:rsidR="004B595F">
        <w:rPr>
          <w:rFonts w:ascii="Calibri" w:hAnsi="Calibri"/>
          <w:color w:val="000000"/>
        </w:rPr>
        <w:t>–</w:t>
      </w:r>
      <w:r w:rsidR="008F453F">
        <w:rPr>
          <w:rFonts w:ascii="Calibri" w:hAnsi="Calibri"/>
          <w:color w:val="000000"/>
        </w:rPr>
        <w:t>Abu Dhabi, UAE</w:t>
      </w:r>
      <w:r w:rsidR="004B595F">
        <w:rPr>
          <w:rFonts w:ascii="Calibri" w:hAnsi="Calibri"/>
          <w:color w:val="000000"/>
        </w:rPr>
        <w:t>–</w:t>
      </w:r>
      <w:r w:rsidR="008F453F">
        <w:rPr>
          <w:rFonts w:ascii="Calibri" w:hAnsi="Calibri"/>
          <w:color w:val="000000"/>
        </w:rPr>
        <w:t>Dubai</w:t>
      </w:r>
      <w:r w:rsidR="001274A0">
        <w:rPr>
          <w:rFonts w:ascii="Calibri" w:hAnsi="Calibri"/>
          <w:color w:val="000000"/>
        </w:rPr>
        <w:t xml:space="preserve"> and </w:t>
      </w:r>
      <w:r w:rsidR="004B595F">
        <w:rPr>
          <w:rFonts w:ascii="Calibri" w:hAnsi="Calibri"/>
          <w:color w:val="000000"/>
        </w:rPr>
        <w:t xml:space="preserve">the </w:t>
      </w:r>
      <w:r w:rsidR="001274A0">
        <w:rPr>
          <w:rFonts w:ascii="Calibri" w:hAnsi="Calibri"/>
          <w:color w:val="000000"/>
        </w:rPr>
        <w:t xml:space="preserve">GCC </w:t>
      </w:r>
      <w:r w:rsidR="004B595F">
        <w:rPr>
          <w:rFonts w:ascii="Calibri" w:hAnsi="Calibri"/>
          <w:color w:val="000000"/>
        </w:rPr>
        <w:t>as a whole</w:t>
      </w:r>
      <w:r w:rsidR="003B73D2">
        <w:rPr>
          <w:rFonts w:ascii="Calibri" w:hAnsi="Calibri"/>
          <w:color w:val="000000"/>
        </w:rPr>
        <w:t>.</w:t>
      </w:r>
      <w:r w:rsidR="004558C4">
        <w:rPr>
          <w:rFonts w:ascii="Calibri" w:hAnsi="Calibri"/>
          <w:color w:val="000000"/>
        </w:rPr>
        <w:t xml:space="preserve"> </w:t>
      </w:r>
    </w:p>
    <w:p w:rsidR="003B73D2" w:rsidRDefault="004558C4" w:rsidP="00B840F3">
      <w:pPr>
        <w:rPr>
          <w:rFonts w:ascii="Calibri" w:hAnsi="Calibri"/>
          <w:color w:val="000000"/>
        </w:rPr>
      </w:pPr>
      <w:r>
        <w:rPr>
          <w:rFonts w:ascii="Calibri" w:hAnsi="Calibri"/>
          <w:color w:val="000000"/>
        </w:rPr>
        <w:t>Contrary to the common belief that crude oil is the main driver of the GCC economies, this paper finds that the linkage is not that strong for most sectors and for m</w:t>
      </w:r>
      <w:r w:rsidR="004843C9">
        <w:rPr>
          <w:rFonts w:ascii="Calibri" w:hAnsi="Calibri"/>
          <w:color w:val="000000"/>
        </w:rPr>
        <w:t>ost countries</w:t>
      </w:r>
      <w:r w:rsidR="004B595F">
        <w:rPr>
          <w:rFonts w:ascii="Calibri" w:hAnsi="Calibri"/>
          <w:color w:val="000000"/>
        </w:rPr>
        <w:t>. However,</w:t>
      </w:r>
      <w:r w:rsidR="004843C9">
        <w:rPr>
          <w:rFonts w:ascii="Calibri" w:hAnsi="Calibri"/>
          <w:color w:val="000000"/>
        </w:rPr>
        <w:t xml:space="preserve"> Saudi Arabia, which </w:t>
      </w:r>
      <w:r w:rsidR="000F3515">
        <w:rPr>
          <w:rFonts w:ascii="Calibri" w:hAnsi="Calibri"/>
          <w:color w:val="000000"/>
        </w:rPr>
        <w:t>is understandably</w:t>
      </w:r>
      <w:r w:rsidR="004843C9">
        <w:rPr>
          <w:rFonts w:ascii="Calibri" w:hAnsi="Calibri"/>
          <w:color w:val="000000"/>
        </w:rPr>
        <w:t xml:space="preserve"> the largest oil producer and the largest country of the group</w:t>
      </w:r>
      <w:r w:rsidR="004B595F">
        <w:rPr>
          <w:rFonts w:ascii="Calibri" w:hAnsi="Calibri"/>
          <w:color w:val="000000"/>
        </w:rPr>
        <w:t>,</w:t>
      </w:r>
      <w:r w:rsidR="004843C9">
        <w:rPr>
          <w:rFonts w:ascii="Calibri" w:hAnsi="Calibri"/>
          <w:color w:val="000000"/>
        </w:rPr>
        <w:t xml:space="preserve"> relies more heavily on oil revenues to foment growth in other sectors. This feature is quite evident when we peruse the 10-day volatility results</w:t>
      </w:r>
      <w:r w:rsidR="004B595F">
        <w:rPr>
          <w:rFonts w:ascii="Calibri" w:hAnsi="Calibri"/>
          <w:color w:val="000000"/>
        </w:rPr>
        <w:t>:</w:t>
      </w:r>
      <w:r w:rsidR="004843C9">
        <w:rPr>
          <w:rFonts w:ascii="Calibri" w:hAnsi="Calibri"/>
          <w:color w:val="000000"/>
        </w:rPr>
        <w:t xml:space="preserve"> Saudi Arabia</w:t>
      </w:r>
      <w:r w:rsidR="00F17408">
        <w:rPr>
          <w:rFonts w:ascii="Calibri" w:hAnsi="Calibri"/>
          <w:color w:val="000000"/>
        </w:rPr>
        <w:t xml:space="preserve"> sectoral </w:t>
      </w:r>
      <w:r w:rsidR="00674202">
        <w:rPr>
          <w:rFonts w:ascii="Calibri" w:hAnsi="Calibri"/>
          <w:color w:val="000000"/>
        </w:rPr>
        <w:t>stock</w:t>
      </w:r>
      <w:r w:rsidR="00F17408">
        <w:rPr>
          <w:rFonts w:ascii="Calibri" w:hAnsi="Calibri"/>
          <w:color w:val="000000"/>
        </w:rPr>
        <w:t xml:space="preserve"> market synchronicity is</w:t>
      </w:r>
      <w:r w:rsidR="004B595F">
        <w:rPr>
          <w:rFonts w:ascii="Calibri" w:hAnsi="Calibri"/>
          <w:color w:val="000000"/>
        </w:rPr>
        <w:t>,</w:t>
      </w:r>
      <w:r w:rsidR="00F17408">
        <w:rPr>
          <w:rFonts w:ascii="Calibri" w:hAnsi="Calibri"/>
          <w:color w:val="000000"/>
        </w:rPr>
        <w:t xml:space="preserve"> on average</w:t>
      </w:r>
      <w:r w:rsidR="004B595F">
        <w:rPr>
          <w:rFonts w:ascii="Calibri" w:hAnsi="Calibri"/>
          <w:color w:val="000000"/>
        </w:rPr>
        <w:t>,</w:t>
      </w:r>
      <w:r w:rsidR="00F17408">
        <w:rPr>
          <w:rFonts w:ascii="Calibri" w:hAnsi="Calibri"/>
          <w:color w:val="000000"/>
        </w:rPr>
        <w:t xml:space="preserve"> larger than </w:t>
      </w:r>
      <w:r w:rsidR="004B595F">
        <w:rPr>
          <w:rFonts w:ascii="Calibri" w:hAnsi="Calibri"/>
          <w:color w:val="000000"/>
        </w:rPr>
        <w:t xml:space="preserve">that of </w:t>
      </w:r>
      <w:r w:rsidR="00F17408">
        <w:rPr>
          <w:rFonts w:ascii="Calibri" w:hAnsi="Calibri"/>
          <w:color w:val="000000"/>
        </w:rPr>
        <w:t xml:space="preserve">any other </w:t>
      </w:r>
      <w:r w:rsidR="004B595F">
        <w:rPr>
          <w:rFonts w:ascii="Calibri" w:hAnsi="Calibri"/>
          <w:color w:val="000000"/>
        </w:rPr>
        <w:t xml:space="preserve">country </w:t>
      </w:r>
      <w:r w:rsidR="00F17408">
        <w:rPr>
          <w:rFonts w:ascii="Calibri" w:hAnsi="Calibri"/>
          <w:color w:val="000000"/>
        </w:rPr>
        <w:t xml:space="preserve">and </w:t>
      </w:r>
      <w:r w:rsidR="004B595F">
        <w:rPr>
          <w:rFonts w:ascii="Calibri" w:hAnsi="Calibri"/>
          <w:color w:val="000000"/>
        </w:rPr>
        <w:t xml:space="preserve">of </w:t>
      </w:r>
      <w:r w:rsidR="00F17408">
        <w:rPr>
          <w:rFonts w:ascii="Calibri" w:hAnsi="Calibri"/>
          <w:color w:val="000000"/>
        </w:rPr>
        <w:t xml:space="preserve">the GCC </w:t>
      </w:r>
      <w:r w:rsidR="004B595F">
        <w:rPr>
          <w:rFonts w:ascii="Calibri" w:hAnsi="Calibri"/>
          <w:color w:val="000000"/>
        </w:rPr>
        <w:t>as a whole</w:t>
      </w:r>
      <w:r w:rsidR="00F17408">
        <w:rPr>
          <w:rFonts w:ascii="Calibri" w:hAnsi="Calibri"/>
          <w:color w:val="000000"/>
        </w:rPr>
        <w:t xml:space="preserve">. The decoupling of the non-oil sector from the oil sector that has taken place in most GCC countries may be the reason underlying the extent of association of the cycles </w:t>
      </w:r>
      <w:r w:rsidR="004B595F">
        <w:rPr>
          <w:rFonts w:ascii="Calibri" w:hAnsi="Calibri"/>
          <w:color w:val="000000"/>
        </w:rPr>
        <w:t xml:space="preserve">we have </w:t>
      </w:r>
      <w:r w:rsidR="00F17408">
        <w:rPr>
          <w:rFonts w:ascii="Calibri" w:hAnsi="Calibri"/>
          <w:color w:val="000000"/>
        </w:rPr>
        <w:t>observed</w:t>
      </w:r>
      <w:r w:rsidR="00826923">
        <w:rPr>
          <w:rFonts w:ascii="Calibri" w:hAnsi="Calibri"/>
          <w:color w:val="000000"/>
        </w:rPr>
        <w:t xml:space="preserve"> (see Basher, </w:t>
      </w:r>
      <w:r w:rsidR="00F17408">
        <w:rPr>
          <w:rFonts w:ascii="Calibri" w:hAnsi="Calibri"/>
          <w:color w:val="000000"/>
        </w:rPr>
        <w:t>2010)</w:t>
      </w:r>
      <w:r w:rsidR="00826923">
        <w:rPr>
          <w:rFonts w:ascii="Calibri" w:hAnsi="Calibri"/>
          <w:color w:val="000000"/>
        </w:rPr>
        <w:t xml:space="preserve">. Also, as Balli </w:t>
      </w:r>
      <w:r w:rsidR="00E1141E" w:rsidRPr="00E1141E">
        <w:rPr>
          <w:rFonts w:ascii="Calibri" w:hAnsi="Calibri"/>
          <w:i/>
          <w:color w:val="000000"/>
        </w:rPr>
        <w:t>et al.</w:t>
      </w:r>
      <w:r w:rsidR="00826923">
        <w:rPr>
          <w:rFonts w:ascii="Calibri" w:hAnsi="Calibri"/>
          <w:color w:val="000000"/>
        </w:rPr>
        <w:t xml:space="preserve"> (2009) have argued,</w:t>
      </w:r>
      <w:r w:rsidR="00F17408">
        <w:rPr>
          <w:rFonts w:ascii="Calibri" w:hAnsi="Calibri"/>
          <w:color w:val="000000"/>
        </w:rPr>
        <w:t xml:space="preserve"> the repatriation of capital to the Mi</w:t>
      </w:r>
      <w:r w:rsidR="00684433">
        <w:rPr>
          <w:rFonts w:ascii="Calibri" w:hAnsi="Calibri"/>
          <w:color w:val="000000"/>
        </w:rPr>
        <w:t>ddle East after September 11 may be a contributing factor</w:t>
      </w:r>
      <w:r w:rsidR="00F17408">
        <w:rPr>
          <w:rFonts w:ascii="Calibri" w:hAnsi="Calibri"/>
          <w:color w:val="000000"/>
        </w:rPr>
        <w:t xml:space="preserve"> to economic diversification. </w:t>
      </w:r>
    </w:p>
    <w:p w:rsidR="000F3515" w:rsidRPr="00BB4EEE" w:rsidRDefault="009D3ECB" w:rsidP="005E6E47">
      <w:pPr>
        <w:outlineLvl w:val="0"/>
        <w:rPr>
          <w:rFonts w:ascii="Calibri" w:hAnsi="Calibri"/>
          <w:b/>
          <w:color w:val="000000"/>
        </w:rPr>
      </w:pPr>
      <w:r w:rsidRPr="00BB4EEE">
        <w:rPr>
          <w:rFonts w:ascii="Calibri" w:hAnsi="Calibri"/>
          <w:b/>
          <w:color w:val="000000"/>
        </w:rPr>
        <w:t xml:space="preserve">The </w:t>
      </w:r>
      <w:r w:rsidR="004B595F">
        <w:rPr>
          <w:rFonts w:ascii="Calibri" w:hAnsi="Calibri"/>
          <w:b/>
          <w:color w:val="000000"/>
        </w:rPr>
        <w:t>d</w:t>
      </w:r>
      <w:r w:rsidRPr="00BB4EEE">
        <w:rPr>
          <w:rFonts w:ascii="Calibri" w:hAnsi="Calibri"/>
          <w:b/>
          <w:color w:val="000000"/>
        </w:rPr>
        <w:t xml:space="preserve">ynamic </w:t>
      </w:r>
      <w:r w:rsidR="004B595F">
        <w:rPr>
          <w:rFonts w:ascii="Calibri" w:hAnsi="Calibri"/>
          <w:b/>
          <w:color w:val="000000"/>
        </w:rPr>
        <w:t>f</w:t>
      </w:r>
      <w:r w:rsidRPr="00BB4EEE">
        <w:rPr>
          <w:rFonts w:ascii="Calibri" w:hAnsi="Calibri"/>
          <w:b/>
          <w:color w:val="000000"/>
        </w:rPr>
        <w:t xml:space="preserve">actor </w:t>
      </w:r>
      <w:r w:rsidR="004B595F">
        <w:rPr>
          <w:rFonts w:ascii="Calibri" w:hAnsi="Calibri"/>
          <w:b/>
          <w:color w:val="000000"/>
        </w:rPr>
        <w:t>r</w:t>
      </w:r>
      <w:r w:rsidRPr="00BB4EEE">
        <w:rPr>
          <w:rFonts w:ascii="Calibri" w:hAnsi="Calibri"/>
          <w:b/>
          <w:color w:val="000000"/>
        </w:rPr>
        <w:t>esults</w:t>
      </w:r>
    </w:p>
    <w:p w:rsidR="009E1F9D" w:rsidRDefault="009D3ECB" w:rsidP="00B840F3">
      <w:pPr>
        <w:rPr>
          <w:rFonts w:ascii="Calibri" w:hAnsi="Calibri"/>
          <w:color w:val="000000"/>
        </w:rPr>
      </w:pPr>
      <w:r>
        <w:rPr>
          <w:rFonts w:ascii="Calibri" w:hAnsi="Calibri"/>
          <w:color w:val="000000"/>
        </w:rPr>
        <w:t>The synchronicity results have thus far shown that there is co</w:t>
      </w:r>
      <w:r w:rsidR="004B595F">
        <w:rPr>
          <w:rFonts w:ascii="Calibri" w:hAnsi="Calibri"/>
          <w:color w:val="000000"/>
        </w:rPr>
        <w:t>-</w:t>
      </w:r>
      <w:r>
        <w:rPr>
          <w:rFonts w:ascii="Calibri" w:hAnsi="Calibri"/>
          <w:color w:val="000000"/>
        </w:rPr>
        <w:t xml:space="preserve">movement between crude oil and stock markets. However, it could also be pure luck. To overcome </w:t>
      </w:r>
      <w:r w:rsidR="004B595F">
        <w:rPr>
          <w:rFonts w:ascii="Calibri" w:hAnsi="Calibri"/>
          <w:color w:val="000000"/>
        </w:rPr>
        <w:t xml:space="preserve">the </w:t>
      </w:r>
      <w:r>
        <w:rPr>
          <w:rFonts w:ascii="Calibri" w:hAnsi="Calibri"/>
          <w:color w:val="000000"/>
        </w:rPr>
        <w:t xml:space="preserve">potential problems of spurious synchronicity, we reformulate the research question with a twist by asking whether there is a common underlying factor driving sectoral </w:t>
      </w:r>
      <w:r w:rsidR="00674202">
        <w:rPr>
          <w:rFonts w:ascii="Calibri" w:hAnsi="Calibri"/>
          <w:color w:val="000000"/>
        </w:rPr>
        <w:t>stock</w:t>
      </w:r>
      <w:r>
        <w:rPr>
          <w:rFonts w:ascii="Calibri" w:hAnsi="Calibri"/>
          <w:color w:val="000000"/>
        </w:rPr>
        <w:t xml:space="preserve"> markets in each GCC country</w:t>
      </w:r>
      <w:r w:rsidR="00522B06">
        <w:rPr>
          <w:rFonts w:ascii="Calibri" w:hAnsi="Calibri"/>
          <w:color w:val="000000"/>
        </w:rPr>
        <w:t>, and</w:t>
      </w:r>
      <w:r w:rsidR="004B595F">
        <w:rPr>
          <w:rFonts w:ascii="Calibri" w:hAnsi="Calibri"/>
          <w:color w:val="000000"/>
        </w:rPr>
        <w:t>,</w:t>
      </w:r>
      <w:r w:rsidR="00522B06">
        <w:rPr>
          <w:rFonts w:ascii="Calibri" w:hAnsi="Calibri"/>
          <w:color w:val="000000"/>
        </w:rPr>
        <w:t xml:space="preserve"> should this be so, whether oil price return/volatility c</w:t>
      </w:r>
      <w:r w:rsidR="00BB4EEE">
        <w:rPr>
          <w:rFonts w:ascii="Calibri" w:hAnsi="Calibri"/>
          <w:color w:val="000000"/>
        </w:rPr>
        <w:t xml:space="preserve">an explain such </w:t>
      </w:r>
      <w:r w:rsidR="004B595F">
        <w:rPr>
          <w:rFonts w:ascii="Calibri" w:hAnsi="Calibri"/>
          <w:color w:val="000000"/>
        </w:rPr>
        <w:t xml:space="preserve">a </w:t>
      </w:r>
      <w:r w:rsidR="00BB4EEE">
        <w:rPr>
          <w:rFonts w:ascii="Calibri" w:hAnsi="Calibri"/>
          <w:color w:val="000000"/>
        </w:rPr>
        <w:t>factor. Tables 10, 11 and 12</w:t>
      </w:r>
      <w:r w:rsidR="00522B06">
        <w:rPr>
          <w:rFonts w:ascii="Calibri" w:hAnsi="Calibri"/>
          <w:color w:val="000000"/>
        </w:rPr>
        <w:t xml:space="preserve"> show </w:t>
      </w:r>
      <w:r w:rsidR="005C1892">
        <w:rPr>
          <w:rFonts w:ascii="Calibri" w:hAnsi="Calibri"/>
          <w:color w:val="000000"/>
        </w:rPr>
        <w:t xml:space="preserve">the dynamic factor results for </w:t>
      </w:r>
      <w:r w:rsidR="004B595F">
        <w:rPr>
          <w:rFonts w:ascii="Calibri" w:hAnsi="Calibri"/>
          <w:color w:val="000000"/>
        </w:rPr>
        <w:t xml:space="preserve">the </w:t>
      </w:r>
      <w:r w:rsidR="00522B06">
        <w:rPr>
          <w:rFonts w:ascii="Calibri" w:hAnsi="Calibri"/>
          <w:color w:val="000000"/>
        </w:rPr>
        <w:t>return</w:t>
      </w:r>
      <w:r w:rsidR="005155F9">
        <w:rPr>
          <w:rFonts w:ascii="Calibri" w:hAnsi="Calibri"/>
          <w:color w:val="000000"/>
        </w:rPr>
        <w:t>s</w:t>
      </w:r>
      <w:r w:rsidR="00522B06">
        <w:rPr>
          <w:rFonts w:ascii="Calibri" w:hAnsi="Calibri"/>
          <w:color w:val="000000"/>
        </w:rPr>
        <w:t>, 10-day</w:t>
      </w:r>
      <w:r w:rsidR="004B595F">
        <w:rPr>
          <w:rFonts w:ascii="Calibri" w:hAnsi="Calibri"/>
          <w:color w:val="000000"/>
        </w:rPr>
        <w:t xml:space="preserve"> volatility</w:t>
      </w:r>
      <w:r w:rsidR="00522B06">
        <w:rPr>
          <w:rFonts w:ascii="Calibri" w:hAnsi="Calibri"/>
          <w:color w:val="000000"/>
        </w:rPr>
        <w:t xml:space="preserve"> and 50-day volatilit</w:t>
      </w:r>
      <w:r w:rsidR="005C1892">
        <w:rPr>
          <w:rFonts w:ascii="Calibri" w:hAnsi="Calibri"/>
          <w:color w:val="000000"/>
        </w:rPr>
        <w:t>y, respectively.</w:t>
      </w:r>
      <w:r w:rsidR="00093DB8">
        <w:rPr>
          <w:rFonts w:ascii="Calibri" w:hAnsi="Calibri"/>
          <w:color w:val="000000"/>
        </w:rPr>
        <w:t xml:space="preserve"> We only report and discuss coefficients that are statistically significant.</w:t>
      </w:r>
      <w:r w:rsidR="005155F9">
        <w:rPr>
          <w:rFonts w:ascii="Calibri" w:hAnsi="Calibri"/>
          <w:color w:val="000000"/>
        </w:rPr>
        <w:t xml:space="preserve"> Table 9 pres</w:t>
      </w:r>
      <w:r w:rsidR="008E7192">
        <w:rPr>
          <w:rFonts w:ascii="Calibri" w:hAnsi="Calibri"/>
          <w:color w:val="000000"/>
        </w:rPr>
        <w:t xml:space="preserve">ents </w:t>
      </w:r>
      <w:r w:rsidR="00093DB8">
        <w:rPr>
          <w:rFonts w:ascii="Calibri" w:hAnsi="Calibri"/>
          <w:color w:val="000000"/>
        </w:rPr>
        <w:t>the parameter estimates</w:t>
      </w:r>
      <w:r w:rsidR="008E7192">
        <w:rPr>
          <w:rFonts w:ascii="Calibri" w:hAnsi="Calibri"/>
          <w:color w:val="000000"/>
        </w:rPr>
        <w:t xml:space="preserve"> for</w:t>
      </w:r>
      <w:r w:rsidR="005155F9">
        <w:rPr>
          <w:rFonts w:ascii="Calibri" w:hAnsi="Calibri"/>
          <w:color w:val="000000"/>
        </w:rPr>
        <w:t xml:space="preserve"> Model 3 using sectoral </w:t>
      </w:r>
      <w:r w:rsidR="00674202">
        <w:rPr>
          <w:rFonts w:ascii="Calibri" w:hAnsi="Calibri"/>
          <w:color w:val="000000"/>
        </w:rPr>
        <w:lastRenderedPageBreak/>
        <w:t>stock</w:t>
      </w:r>
      <w:r w:rsidR="005155F9">
        <w:rPr>
          <w:rFonts w:ascii="Calibri" w:hAnsi="Calibri"/>
          <w:color w:val="000000"/>
        </w:rPr>
        <w:t xml:space="preserve"> returns for each country</w:t>
      </w:r>
      <w:r w:rsidR="004B595F">
        <w:rPr>
          <w:rFonts w:ascii="Calibri" w:hAnsi="Calibri"/>
          <w:color w:val="000000"/>
        </w:rPr>
        <w:t xml:space="preserve">, </w:t>
      </w:r>
      <w:r w:rsidR="005155F9">
        <w:rPr>
          <w:rFonts w:ascii="Calibri" w:hAnsi="Calibri"/>
          <w:color w:val="000000"/>
        </w:rPr>
        <w:t xml:space="preserve">the </w:t>
      </w:r>
      <w:r w:rsidR="004B595F">
        <w:rPr>
          <w:rFonts w:ascii="Calibri" w:hAnsi="Calibri"/>
          <w:color w:val="000000"/>
        </w:rPr>
        <w:t xml:space="preserve">entire </w:t>
      </w:r>
      <w:r w:rsidR="005155F9">
        <w:rPr>
          <w:rFonts w:ascii="Calibri" w:hAnsi="Calibri"/>
          <w:color w:val="000000"/>
        </w:rPr>
        <w:t xml:space="preserve">GCC and national </w:t>
      </w:r>
      <w:r w:rsidR="00674202">
        <w:rPr>
          <w:rFonts w:ascii="Calibri" w:hAnsi="Calibri"/>
          <w:color w:val="000000"/>
        </w:rPr>
        <w:t>stock</w:t>
      </w:r>
      <w:r w:rsidR="005155F9">
        <w:rPr>
          <w:rFonts w:ascii="Calibri" w:hAnsi="Calibri"/>
          <w:color w:val="000000"/>
        </w:rPr>
        <w:t xml:space="preserve"> returns</w:t>
      </w:r>
      <w:r w:rsidR="008E7192">
        <w:rPr>
          <w:rFonts w:ascii="Calibri" w:hAnsi="Calibri"/>
          <w:color w:val="000000"/>
        </w:rPr>
        <w:t>.</w:t>
      </w:r>
      <w:r w:rsidR="008E7192">
        <w:rPr>
          <w:rStyle w:val="FootnoteReference"/>
          <w:rFonts w:ascii="Calibri" w:hAnsi="Calibri"/>
          <w:color w:val="000000"/>
        </w:rPr>
        <w:footnoteReference w:id="16"/>
      </w:r>
      <w:r w:rsidR="00093DB8">
        <w:rPr>
          <w:rFonts w:ascii="Calibri" w:hAnsi="Calibri"/>
          <w:color w:val="000000"/>
        </w:rPr>
        <w:t xml:space="preserve">  </w:t>
      </w:r>
      <w:r w:rsidR="004B595F">
        <w:rPr>
          <w:rFonts w:ascii="Calibri" w:hAnsi="Calibri"/>
          <w:color w:val="000000"/>
        </w:rPr>
        <w:t xml:space="preserve">We </w:t>
      </w:r>
      <w:r w:rsidR="00093DB8">
        <w:rPr>
          <w:rFonts w:ascii="Calibri" w:hAnsi="Calibri"/>
          <w:color w:val="000000"/>
        </w:rPr>
        <w:t xml:space="preserve">find the idiosyncratic autoregressive coefficient, </w:t>
      </w:r>
      <w:r w:rsidR="00E1141E" w:rsidRPr="00E1141E">
        <w:rPr>
          <w:rFonts w:ascii="Calibri" w:hAnsi="Calibri"/>
          <w:i/>
          <w:color w:val="000000"/>
        </w:rPr>
        <w:t>a</w:t>
      </w:r>
      <w:r w:rsidR="00093DB8">
        <w:rPr>
          <w:rFonts w:ascii="Calibri" w:hAnsi="Calibri"/>
          <w:color w:val="000000"/>
          <w:vertAlign w:val="subscript"/>
        </w:rPr>
        <w:t>i</w:t>
      </w:r>
      <w:r w:rsidR="00093DB8">
        <w:rPr>
          <w:rFonts w:ascii="Calibri" w:hAnsi="Calibri"/>
          <w:color w:val="000000"/>
        </w:rPr>
        <w:t>, is significant for investment in Bahrain</w:t>
      </w:r>
      <w:r w:rsidR="004B595F">
        <w:rPr>
          <w:rFonts w:ascii="Calibri" w:hAnsi="Calibri"/>
          <w:color w:val="000000"/>
        </w:rPr>
        <w:t>;</w:t>
      </w:r>
      <w:r w:rsidR="00093DB8">
        <w:rPr>
          <w:rFonts w:ascii="Calibri" w:hAnsi="Calibri"/>
          <w:color w:val="000000"/>
        </w:rPr>
        <w:t xml:space="preserve"> all sectors in Oman</w:t>
      </w:r>
      <w:r w:rsidR="004B595F">
        <w:rPr>
          <w:rFonts w:ascii="Calibri" w:hAnsi="Calibri"/>
          <w:color w:val="000000"/>
        </w:rPr>
        <w:t>;</w:t>
      </w:r>
      <w:r w:rsidR="00093DB8">
        <w:rPr>
          <w:rFonts w:ascii="Calibri" w:hAnsi="Calibri"/>
          <w:color w:val="000000"/>
        </w:rPr>
        <w:t xml:space="preserve"> all sectors </w:t>
      </w:r>
      <w:r w:rsidR="004B595F">
        <w:rPr>
          <w:rFonts w:ascii="Calibri" w:hAnsi="Calibri"/>
          <w:color w:val="000000"/>
        </w:rPr>
        <w:t xml:space="preserve">except </w:t>
      </w:r>
      <w:r w:rsidR="00093DB8">
        <w:rPr>
          <w:rFonts w:ascii="Calibri" w:hAnsi="Calibri"/>
          <w:color w:val="000000"/>
        </w:rPr>
        <w:t>services in Qatar</w:t>
      </w:r>
      <w:r w:rsidR="004B595F">
        <w:rPr>
          <w:rFonts w:ascii="Calibri" w:hAnsi="Calibri"/>
          <w:color w:val="000000"/>
        </w:rPr>
        <w:t>;</w:t>
      </w:r>
      <w:r w:rsidR="00093DB8">
        <w:rPr>
          <w:rFonts w:ascii="Calibri" w:hAnsi="Calibri"/>
          <w:color w:val="000000"/>
        </w:rPr>
        <w:t xml:space="preserve"> consumer goods </w:t>
      </w:r>
      <w:r w:rsidR="004B595F">
        <w:rPr>
          <w:rFonts w:ascii="Calibri" w:hAnsi="Calibri"/>
          <w:color w:val="000000"/>
        </w:rPr>
        <w:t xml:space="preserve">only </w:t>
      </w:r>
      <w:r w:rsidR="00093DB8">
        <w:rPr>
          <w:rFonts w:ascii="Calibri" w:hAnsi="Calibri"/>
          <w:color w:val="000000"/>
        </w:rPr>
        <w:t xml:space="preserve">in </w:t>
      </w:r>
      <w:r w:rsidR="001C3EE8">
        <w:rPr>
          <w:rFonts w:ascii="Calibri" w:hAnsi="Calibri"/>
          <w:color w:val="000000"/>
        </w:rPr>
        <w:t>UAE</w:t>
      </w:r>
      <w:r w:rsidR="004B595F">
        <w:rPr>
          <w:rFonts w:ascii="Calibri" w:hAnsi="Calibri"/>
          <w:color w:val="000000"/>
        </w:rPr>
        <w:t>–</w:t>
      </w:r>
      <w:r w:rsidR="001C3EE8">
        <w:rPr>
          <w:rFonts w:ascii="Calibri" w:hAnsi="Calibri"/>
          <w:color w:val="000000"/>
        </w:rPr>
        <w:t>Abu Dhabi</w:t>
      </w:r>
      <w:r w:rsidR="004B595F">
        <w:rPr>
          <w:rFonts w:ascii="Calibri" w:hAnsi="Calibri"/>
          <w:color w:val="000000"/>
        </w:rPr>
        <w:t>;</w:t>
      </w:r>
      <w:r w:rsidR="001C3EE8">
        <w:rPr>
          <w:rFonts w:ascii="Calibri" w:hAnsi="Calibri"/>
          <w:color w:val="000000"/>
        </w:rPr>
        <w:t xml:space="preserve"> bank, consumer staples and telecommunications in UAE</w:t>
      </w:r>
      <w:r w:rsidR="004B595F">
        <w:rPr>
          <w:rFonts w:ascii="Calibri" w:hAnsi="Calibri"/>
          <w:color w:val="000000"/>
        </w:rPr>
        <w:t>–</w:t>
      </w:r>
      <w:r w:rsidR="001C3EE8">
        <w:rPr>
          <w:rFonts w:ascii="Calibri" w:hAnsi="Calibri"/>
          <w:color w:val="000000"/>
        </w:rPr>
        <w:t>Dubai</w:t>
      </w:r>
      <w:r w:rsidR="004B595F">
        <w:rPr>
          <w:rFonts w:ascii="Calibri" w:hAnsi="Calibri"/>
          <w:color w:val="000000"/>
        </w:rPr>
        <w:t>;</w:t>
      </w:r>
      <w:r w:rsidR="001C3EE8">
        <w:rPr>
          <w:rFonts w:ascii="Calibri" w:hAnsi="Calibri"/>
          <w:color w:val="000000"/>
        </w:rPr>
        <w:t xml:space="preserve"> </w:t>
      </w:r>
      <w:r w:rsidR="004B595F">
        <w:rPr>
          <w:rFonts w:ascii="Calibri" w:hAnsi="Calibri"/>
          <w:color w:val="000000"/>
        </w:rPr>
        <w:t>b</w:t>
      </w:r>
      <w:r w:rsidR="001C3EE8">
        <w:rPr>
          <w:rFonts w:ascii="Calibri" w:hAnsi="Calibri"/>
          <w:color w:val="000000"/>
        </w:rPr>
        <w:t>uilding and construction</w:t>
      </w:r>
      <w:r w:rsidR="004B595F">
        <w:rPr>
          <w:rFonts w:ascii="Calibri" w:hAnsi="Calibri"/>
          <w:color w:val="000000"/>
        </w:rPr>
        <w:t>,</w:t>
      </w:r>
      <w:r w:rsidR="001C3EE8">
        <w:rPr>
          <w:rFonts w:ascii="Calibri" w:hAnsi="Calibri"/>
          <w:color w:val="000000"/>
        </w:rPr>
        <w:t xml:space="preserve"> and energy and utility in Saudi Arabia</w:t>
      </w:r>
      <w:r w:rsidR="004B595F">
        <w:rPr>
          <w:rFonts w:ascii="Calibri" w:hAnsi="Calibri"/>
          <w:color w:val="000000"/>
        </w:rPr>
        <w:t>;</w:t>
      </w:r>
      <w:r w:rsidR="001C3EE8">
        <w:rPr>
          <w:rFonts w:ascii="Calibri" w:hAnsi="Calibri"/>
          <w:color w:val="000000"/>
        </w:rPr>
        <w:t xml:space="preserve"> cyclical and non-cyclical goods in the GCC</w:t>
      </w:r>
      <w:r w:rsidR="004B595F">
        <w:rPr>
          <w:rFonts w:ascii="Calibri" w:hAnsi="Calibri"/>
          <w:color w:val="000000"/>
        </w:rPr>
        <w:t>. A</w:t>
      </w:r>
      <w:r w:rsidR="001C3EE8">
        <w:rPr>
          <w:rFonts w:ascii="Calibri" w:hAnsi="Calibri"/>
          <w:color w:val="000000"/>
        </w:rPr>
        <w:t xml:space="preserve">t the national level, </w:t>
      </w:r>
      <w:r w:rsidR="00E1141E" w:rsidRPr="00E1141E">
        <w:rPr>
          <w:rFonts w:ascii="Calibri" w:hAnsi="Calibri"/>
          <w:i/>
          <w:color w:val="000000"/>
        </w:rPr>
        <w:t>a</w:t>
      </w:r>
      <w:r w:rsidR="00E1141E" w:rsidRPr="00E1141E">
        <w:rPr>
          <w:rFonts w:ascii="Calibri" w:hAnsi="Calibri"/>
          <w:color w:val="000000"/>
          <w:vertAlign w:val="subscript"/>
        </w:rPr>
        <w:t>i</w:t>
      </w:r>
      <w:r w:rsidR="004B595F">
        <w:rPr>
          <w:rFonts w:ascii="Calibri" w:hAnsi="Calibri"/>
          <w:color w:val="000000"/>
        </w:rPr>
        <w:t xml:space="preserve"> is significant for </w:t>
      </w:r>
      <w:r w:rsidR="001C3EE8">
        <w:rPr>
          <w:rFonts w:ascii="Calibri" w:hAnsi="Calibri"/>
          <w:color w:val="000000"/>
        </w:rPr>
        <w:t>Saudi Arabia and UAE</w:t>
      </w:r>
      <w:r w:rsidR="004B595F">
        <w:rPr>
          <w:rFonts w:ascii="Calibri" w:hAnsi="Calibri"/>
          <w:color w:val="000000"/>
        </w:rPr>
        <w:t>–</w:t>
      </w:r>
      <w:r w:rsidR="001C3EE8">
        <w:rPr>
          <w:rFonts w:ascii="Calibri" w:hAnsi="Calibri"/>
          <w:color w:val="000000"/>
        </w:rPr>
        <w:t>Abu Dhabi. This indicates that for each country/bloc/group</w:t>
      </w:r>
      <w:r w:rsidR="004B595F">
        <w:rPr>
          <w:rFonts w:ascii="Calibri" w:hAnsi="Calibri"/>
          <w:color w:val="000000"/>
        </w:rPr>
        <w:t>,</w:t>
      </w:r>
      <w:r w:rsidR="001C3EE8">
        <w:rPr>
          <w:rFonts w:ascii="Calibri" w:hAnsi="Calibri"/>
          <w:color w:val="000000"/>
        </w:rPr>
        <w:t xml:space="preserve"> there are stock market return dynamics that are not fully captured by the dynamics of the common factor but rather by their autoregressive </w:t>
      </w:r>
      <w:r w:rsidR="00762924">
        <w:rPr>
          <w:rFonts w:ascii="Calibri" w:hAnsi="Calibri"/>
          <w:color w:val="000000"/>
        </w:rPr>
        <w:t xml:space="preserve">components or own dynamics. The factor loadings, </w:t>
      </w:r>
      <w:r w:rsidR="00E1141E" w:rsidRPr="00E1141E">
        <w:rPr>
          <w:rFonts w:ascii="Calibri" w:hAnsi="Calibri"/>
          <w:i/>
          <w:color w:val="000000"/>
        </w:rPr>
        <w:t>b</w:t>
      </w:r>
      <w:r w:rsidR="00762924">
        <w:rPr>
          <w:rFonts w:ascii="Calibri" w:hAnsi="Calibri"/>
          <w:color w:val="000000"/>
          <w:vertAlign w:val="subscript"/>
        </w:rPr>
        <w:t>i</w:t>
      </w:r>
      <w:r w:rsidR="00762924">
        <w:rPr>
          <w:rFonts w:ascii="Calibri" w:hAnsi="Calibri"/>
          <w:color w:val="000000"/>
        </w:rPr>
        <w:t>, which capture the sensitivity of individual stock market returns to the common factor, are statistically significant for most sectors</w:t>
      </w:r>
      <w:r w:rsidR="009E1F9D">
        <w:rPr>
          <w:rFonts w:ascii="Calibri" w:hAnsi="Calibri"/>
          <w:color w:val="000000"/>
        </w:rPr>
        <w:t xml:space="preserve"> within countries</w:t>
      </w:r>
      <w:r w:rsidR="00762924">
        <w:rPr>
          <w:rFonts w:ascii="Calibri" w:hAnsi="Calibri"/>
          <w:color w:val="000000"/>
        </w:rPr>
        <w:t xml:space="preserve">, the GCC-wide sectors, and national </w:t>
      </w:r>
      <w:r w:rsidR="00674202">
        <w:rPr>
          <w:rFonts w:ascii="Calibri" w:hAnsi="Calibri"/>
          <w:color w:val="000000"/>
        </w:rPr>
        <w:t>stock</w:t>
      </w:r>
      <w:r w:rsidR="00762924">
        <w:rPr>
          <w:rFonts w:ascii="Calibri" w:hAnsi="Calibri"/>
          <w:color w:val="000000"/>
        </w:rPr>
        <w:t xml:space="preserve"> markets. The only exceptions</w:t>
      </w:r>
      <w:r w:rsidR="007150A1">
        <w:rPr>
          <w:rFonts w:ascii="Calibri" w:hAnsi="Calibri"/>
          <w:color w:val="000000"/>
        </w:rPr>
        <w:t xml:space="preserve"> are</w:t>
      </w:r>
      <w:r w:rsidR="00762924">
        <w:rPr>
          <w:rFonts w:ascii="Calibri" w:hAnsi="Calibri"/>
          <w:color w:val="000000"/>
        </w:rPr>
        <w:t xml:space="preserve"> for industry in Bahrain, insurance in UAE</w:t>
      </w:r>
      <w:r w:rsidR="004B595F">
        <w:rPr>
          <w:rFonts w:ascii="Calibri" w:hAnsi="Calibri"/>
          <w:color w:val="000000"/>
        </w:rPr>
        <w:t>–</w:t>
      </w:r>
      <w:r w:rsidR="00762924">
        <w:rPr>
          <w:rFonts w:ascii="Calibri" w:hAnsi="Calibri"/>
          <w:color w:val="000000"/>
        </w:rPr>
        <w:t xml:space="preserve">Abu Dhabi, </w:t>
      </w:r>
      <w:r w:rsidR="007150A1">
        <w:rPr>
          <w:rFonts w:ascii="Calibri" w:hAnsi="Calibri"/>
          <w:color w:val="000000"/>
        </w:rPr>
        <w:t xml:space="preserve">and </w:t>
      </w:r>
      <w:r w:rsidR="00762924">
        <w:rPr>
          <w:rFonts w:ascii="Calibri" w:hAnsi="Calibri"/>
          <w:color w:val="000000"/>
        </w:rPr>
        <w:t>consumer staples and materials in UAE</w:t>
      </w:r>
      <w:r w:rsidR="004B595F">
        <w:rPr>
          <w:rFonts w:ascii="Calibri" w:hAnsi="Calibri"/>
          <w:color w:val="000000"/>
        </w:rPr>
        <w:t>–</w:t>
      </w:r>
      <w:r w:rsidR="00762924">
        <w:rPr>
          <w:rFonts w:ascii="Calibri" w:hAnsi="Calibri"/>
          <w:color w:val="000000"/>
        </w:rPr>
        <w:t>Dubai</w:t>
      </w:r>
      <w:r w:rsidR="007150A1">
        <w:rPr>
          <w:rFonts w:ascii="Calibri" w:hAnsi="Calibri"/>
          <w:color w:val="000000"/>
        </w:rPr>
        <w:t xml:space="preserve">. </w:t>
      </w:r>
      <w:r w:rsidR="009E1F9D">
        <w:rPr>
          <w:rFonts w:ascii="Calibri" w:hAnsi="Calibri"/>
          <w:color w:val="000000"/>
        </w:rPr>
        <w:t xml:space="preserve">Thus, there is evidence of a common factor driving the growth dynamics of stock market returns in the GCC. The degree of persistence of this common factor, however, varies across countries, as captured by the value of </w:t>
      </w:r>
      <w:r w:rsidR="009E1F9D" w:rsidRPr="004568A6">
        <w:rPr>
          <w:rFonts w:ascii="Calibri" w:hAnsi="Calibri"/>
          <w:i/>
          <w:color w:val="000000"/>
        </w:rPr>
        <w:t>d</w:t>
      </w:r>
      <w:r w:rsidR="009E1F9D">
        <w:rPr>
          <w:rFonts w:ascii="Calibri" w:hAnsi="Calibri"/>
          <w:color w:val="000000"/>
        </w:rPr>
        <w:t>.</w:t>
      </w:r>
    </w:p>
    <w:p w:rsidR="00BB4EEE" w:rsidRPr="00BB4EEE" w:rsidRDefault="00BB4EEE" w:rsidP="005E6E47">
      <w:pPr>
        <w:outlineLvl w:val="0"/>
        <w:rPr>
          <w:rFonts w:ascii="Calibri" w:hAnsi="Calibri"/>
          <w:b/>
          <w:color w:val="000000"/>
        </w:rPr>
      </w:pPr>
      <w:r w:rsidRPr="00BB4EEE">
        <w:rPr>
          <w:rFonts w:ascii="Calibri" w:hAnsi="Calibri"/>
          <w:b/>
          <w:color w:val="000000"/>
        </w:rPr>
        <w:t>Tables 10 to 12 about here</w:t>
      </w:r>
    </w:p>
    <w:p w:rsidR="00125707" w:rsidRDefault="0081641B" w:rsidP="00B840F3">
      <w:pPr>
        <w:rPr>
          <w:rFonts w:ascii="Calibri" w:hAnsi="Calibri"/>
          <w:color w:val="000000"/>
        </w:rPr>
      </w:pPr>
      <w:r>
        <w:rPr>
          <w:rFonts w:ascii="Calibri" w:hAnsi="Calibri"/>
          <w:color w:val="000000"/>
        </w:rPr>
        <w:t>We collapse the d</w:t>
      </w:r>
      <w:r w:rsidR="00CD48AD">
        <w:rPr>
          <w:rFonts w:ascii="Calibri" w:hAnsi="Calibri"/>
          <w:color w:val="000000"/>
        </w:rPr>
        <w:t>aily data into quarterly data to</w:t>
      </w:r>
      <w:r>
        <w:rPr>
          <w:rFonts w:ascii="Calibri" w:hAnsi="Calibri"/>
          <w:color w:val="000000"/>
        </w:rPr>
        <w:t xml:space="preserve"> plot</w:t>
      </w:r>
      <w:r w:rsidR="00CD48AD">
        <w:rPr>
          <w:rFonts w:ascii="Calibri" w:hAnsi="Calibri"/>
          <w:color w:val="000000"/>
        </w:rPr>
        <w:t xml:space="preserve"> t</w:t>
      </w:r>
      <w:r>
        <w:rPr>
          <w:rFonts w:ascii="Calibri" w:hAnsi="Calibri"/>
          <w:color w:val="000000"/>
        </w:rPr>
        <w:t>he estimated common</w:t>
      </w:r>
      <w:r w:rsidR="00CD48AD">
        <w:rPr>
          <w:rFonts w:ascii="Calibri" w:hAnsi="Calibri"/>
          <w:color w:val="000000"/>
        </w:rPr>
        <w:t xml:space="preserve"> factors</w:t>
      </w:r>
      <w:r>
        <w:rPr>
          <w:rFonts w:ascii="Calibri" w:hAnsi="Calibri"/>
          <w:color w:val="000000"/>
        </w:rPr>
        <w:t xml:space="preserve"> </w:t>
      </w:r>
      <w:r w:rsidR="00323DFD">
        <w:rPr>
          <w:rFonts w:ascii="Calibri" w:hAnsi="Calibri"/>
          <w:color w:val="000000"/>
        </w:rPr>
        <w:t>(</w:t>
      </w:r>
      <w:r>
        <w:rPr>
          <w:rFonts w:ascii="Calibri" w:hAnsi="Calibri"/>
          <w:color w:val="000000"/>
        </w:rPr>
        <w:t>Figure 2</w:t>
      </w:r>
      <w:r w:rsidR="00323DFD">
        <w:rPr>
          <w:rFonts w:ascii="Calibri" w:hAnsi="Calibri"/>
          <w:color w:val="000000"/>
        </w:rPr>
        <w:t>)</w:t>
      </w:r>
      <w:r w:rsidR="00CD48AD">
        <w:rPr>
          <w:rFonts w:ascii="Calibri" w:hAnsi="Calibri"/>
          <w:color w:val="000000"/>
        </w:rPr>
        <w:t>. As can be gleaned</w:t>
      </w:r>
      <w:r w:rsidR="00323DFD">
        <w:rPr>
          <w:rFonts w:ascii="Calibri" w:hAnsi="Calibri"/>
          <w:color w:val="000000"/>
        </w:rPr>
        <w:t xml:space="preserve"> from this figure</w:t>
      </w:r>
      <w:r w:rsidR="00CD48AD">
        <w:rPr>
          <w:rFonts w:ascii="Calibri" w:hAnsi="Calibri"/>
          <w:color w:val="000000"/>
        </w:rPr>
        <w:t xml:space="preserve">, the common factors suggest that sectoral and national </w:t>
      </w:r>
      <w:r w:rsidR="00674202">
        <w:rPr>
          <w:rFonts w:ascii="Calibri" w:hAnsi="Calibri"/>
          <w:color w:val="000000"/>
        </w:rPr>
        <w:t>stock</w:t>
      </w:r>
      <w:r w:rsidR="00CD48AD">
        <w:rPr>
          <w:rFonts w:ascii="Calibri" w:hAnsi="Calibri"/>
          <w:color w:val="000000"/>
        </w:rPr>
        <w:t xml:space="preserve"> markets share</w:t>
      </w:r>
      <w:r w:rsidR="00323DFD">
        <w:rPr>
          <w:rFonts w:ascii="Calibri" w:hAnsi="Calibri"/>
          <w:color w:val="000000"/>
        </w:rPr>
        <w:t>d</w:t>
      </w:r>
      <w:r w:rsidR="00CD48AD">
        <w:rPr>
          <w:rFonts w:ascii="Calibri" w:hAnsi="Calibri"/>
          <w:color w:val="000000"/>
        </w:rPr>
        <w:t xml:space="preserve"> t</w:t>
      </w:r>
      <w:r w:rsidR="005C2EDD">
        <w:rPr>
          <w:rFonts w:ascii="Calibri" w:hAnsi="Calibri"/>
          <w:color w:val="000000"/>
        </w:rPr>
        <w:t>he recent major</w:t>
      </w:r>
      <w:r w:rsidR="0058047C">
        <w:rPr>
          <w:rFonts w:ascii="Calibri" w:hAnsi="Calibri"/>
          <w:color w:val="000000"/>
        </w:rPr>
        <w:t xml:space="preserve"> financial crisis</w:t>
      </w:r>
      <w:r w:rsidR="005C2EDD">
        <w:rPr>
          <w:rFonts w:ascii="Calibri" w:hAnsi="Calibri"/>
          <w:color w:val="000000"/>
        </w:rPr>
        <w:t xml:space="preserve"> where the stock market crash of 2008 lasted until 2009, a span of 17 months. UAE</w:t>
      </w:r>
      <w:r w:rsidR="00323DFD">
        <w:rPr>
          <w:rFonts w:ascii="Calibri" w:hAnsi="Calibri"/>
          <w:color w:val="000000"/>
        </w:rPr>
        <w:t>–</w:t>
      </w:r>
      <w:r w:rsidR="005C2EDD">
        <w:rPr>
          <w:rFonts w:ascii="Calibri" w:hAnsi="Calibri"/>
          <w:color w:val="000000"/>
        </w:rPr>
        <w:t>Dubai is the only stock marke</w:t>
      </w:r>
      <w:r w:rsidR="00CB5A79">
        <w:rPr>
          <w:rFonts w:ascii="Calibri" w:hAnsi="Calibri"/>
          <w:color w:val="000000"/>
        </w:rPr>
        <w:t>t that show</w:t>
      </w:r>
      <w:r w:rsidR="00323DFD">
        <w:rPr>
          <w:rFonts w:ascii="Calibri" w:hAnsi="Calibri"/>
          <w:color w:val="000000"/>
        </w:rPr>
        <w:t>ed</w:t>
      </w:r>
      <w:r w:rsidR="00CB5A79">
        <w:rPr>
          <w:rFonts w:ascii="Calibri" w:hAnsi="Calibri"/>
          <w:color w:val="000000"/>
        </w:rPr>
        <w:t xml:space="preserve"> a spike during that</w:t>
      </w:r>
      <w:r w:rsidR="005C2EDD">
        <w:rPr>
          <w:rFonts w:ascii="Calibri" w:hAnsi="Calibri"/>
          <w:color w:val="000000"/>
        </w:rPr>
        <w:t xml:space="preserve"> period, but it fell dramatically in 2009 when investors became concerned that Dubai might not be able to meet its debt requirements in November of that year.</w:t>
      </w:r>
      <w:r w:rsidR="00AC591E">
        <w:rPr>
          <w:rFonts w:ascii="Calibri" w:hAnsi="Calibri"/>
          <w:color w:val="000000"/>
        </w:rPr>
        <w:t xml:space="preserve"> For as long as the sample period allows, the common factor is able to show tha</w:t>
      </w:r>
      <w:r w:rsidR="00125707">
        <w:rPr>
          <w:rFonts w:ascii="Calibri" w:hAnsi="Calibri"/>
          <w:color w:val="000000"/>
        </w:rPr>
        <w:t>t sectoral markets in the GCC</w:t>
      </w:r>
      <w:r w:rsidR="00AC591E">
        <w:rPr>
          <w:rFonts w:ascii="Calibri" w:hAnsi="Calibri"/>
          <w:color w:val="000000"/>
        </w:rPr>
        <w:t xml:space="preserve"> were affected by the dotcom burst in early 2000s, the September 11 attack in 2001, the war in Iraq starting in 2003, and </w:t>
      </w:r>
      <w:r w:rsidR="00852864">
        <w:rPr>
          <w:rFonts w:ascii="Calibri" w:hAnsi="Calibri"/>
          <w:color w:val="000000"/>
        </w:rPr>
        <w:t xml:space="preserve">heightened nuclear </w:t>
      </w:r>
      <w:r w:rsidR="00AC591E">
        <w:rPr>
          <w:rFonts w:ascii="Calibri" w:hAnsi="Calibri"/>
          <w:color w:val="000000"/>
        </w:rPr>
        <w:t>tensions between Western nations and Iran</w:t>
      </w:r>
      <w:r w:rsidR="00852864">
        <w:rPr>
          <w:rFonts w:ascii="Calibri" w:hAnsi="Calibri"/>
          <w:color w:val="000000"/>
        </w:rPr>
        <w:t xml:space="preserve"> in 2005</w:t>
      </w:r>
      <w:r w:rsidR="00323DFD">
        <w:rPr>
          <w:rFonts w:ascii="Calibri" w:hAnsi="Calibri"/>
          <w:color w:val="000000"/>
        </w:rPr>
        <w:t>–</w:t>
      </w:r>
      <w:r w:rsidR="00852864">
        <w:rPr>
          <w:rFonts w:ascii="Calibri" w:hAnsi="Calibri"/>
          <w:color w:val="000000"/>
        </w:rPr>
        <w:t>2006</w:t>
      </w:r>
      <w:r w:rsidR="00125707">
        <w:rPr>
          <w:rFonts w:ascii="Calibri" w:hAnsi="Calibri"/>
          <w:color w:val="000000"/>
        </w:rPr>
        <w:t>, and the stock market crash of 2005</w:t>
      </w:r>
      <w:r w:rsidR="00323DFD">
        <w:rPr>
          <w:rFonts w:ascii="Calibri" w:hAnsi="Calibri"/>
          <w:color w:val="000000"/>
        </w:rPr>
        <w:t>–</w:t>
      </w:r>
      <w:r w:rsidR="00125707">
        <w:rPr>
          <w:rFonts w:ascii="Calibri" w:hAnsi="Calibri"/>
          <w:color w:val="000000"/>
        </w:rPr>
        <w:t>2006.</w:t>
      </w:r>
    </w:p>
    <w:p w:rsidR="00BB4EEE" w:rsidRPr="00BB4EEE" w:rsidRDefault="00BB4EEE" w:rsidP="005E6E47">
      <w:pPr>
        <w:outlineLvl w:val="0"/>
        <w:rPr>
          <w:rFonts w:ascii="Calibri" w:hAnsi="Calibri"/>
          <w:b/>
          <w:color w:val="000000"/>
        </w:rPr>
      </w:pPr>
      <w:r w:rsidRPr="00BB4EEE">
        <w:rPr>
          <w:rFonts w:ascii="Calibri" w:hAnsi="Calibri"/>
          <w:b/>
          <w:color w:val="000000"/>
        </w:rPr>
        <w:t>Figure 2 about here</w:t>
      </w:r>
    </w:p>
    <w:p w:rsidR="00F27AE0" w:rsidRDefault="00323DFD" w:rsidP="00B840F3">
      <w:pPr>
        <w:rPr>
          <w:rFonts w:ascii="Calibri" w:hAnsi="Calibri"/>
          <w:color w:val="000000"/>
        </w:rPr>
      </w:pPr>
      <w:r>
        <w:rPr>
          <w:rFonts w:ascii="Calibri" w:hAnsi="Calibri"/>
          <w:color w:val="000000"/>
        </w:rPr>
        <w:t>Does</w:t>
      </w:r>
      <w:r w:rsidR="0056692B">
        <w:rPr>
          <w:rFonts w:ascii="Calibri" w:hAnsi="Calibri"/>
          <w:color w:val="000000"/>
        </w:rPr>
        <w:t xml:space="preserve"> a common factor </w:t>
      </w:r>
      <w:r>
        <w:rPr>
          <w:rFonts w:ascii="Calibri" w:hAnsi="Calibri"/>
          <w:color w:val="000000"/>
        </w:rPr>
        <w:t xml:space="preserve">underlie </w:t>
      </w:r>
      <w:r w:rsidR="0056692B">
        <w:rPr>
          <w:rFonts w:ascii="Calibri" w:hAnsi="Calibri"/>
          <w:color w:val="000000"/>
        </w:rPr>
        <w:t xml:space="preserve">the volatility of stock market returns in the GCC countries? We answer this question by estimating similar </w:t>
      </w:r>
      <w:r w:rsidR="003E5435">
        <w:rPr>
          <w:rFonts w:ascii="Calibri" w:hAnsi="Calibri"/>
          <w:color w:val="000000"/>
        </w:rPr>
        <w:t>dynamic factor</w:t>
      </w:r>
      <w:r w:rsidR="0056692B">
        <w:rPr>
          <w:rFonts w:ascii="Calibri" w:hAnsi="Calibri"/>
          <w:color w:val="000000"/>
        </w:rPr>
        <w:t xml:space="preserve"> models. One impediment encountered, however, is that the optimization algorithm fails to converge for some model specifications. Since our primary objective is not to find a common factor that embraces all GCC sectors, we report the model that works for each country </w:t>
      </w:r>
      <w:r>
        <w:rPr>
          <w:rFonts w:ascii="Calibri" w:hAnsi="Calibri"/>
          <w:color w:val="000000"/>
        </w:rPr>
        <w:t xml:space="preserve">but we </w:t>
      </w:r>
      <w:r w:rsidR="0080189E">
        <w:rPr>
          <w:rFonts w:ascii="Calibri" w:hAnsi="Calibri"/>
          <w:color w:val="000000"/>
        </w:rPr>
        <w:t>refrain from making cross-country comparisons. For the 10-day rolling volatility</w:t>
      </w:r>
      <w:r w:rsidR="00284D41">
        <w:rPr>
          <w:rFonts w:ascii="Calibri" w:hAnsi="Calibri"/>
          <w:color w:val="000000"/>
        </w:rPr>
        <w:t xml:space="preserve"> series, we find </w:t>
      </w:r>
      <w:r>
        <w:rPr>
          <w:rFonts w:ascii="Calibri" w:hAnsi="Calibri"/>
          <w:color w:val="000000"/>
        </w:rPr>
        <w:t xml:space="preserve">that </w:t>
      </w:r>
      <w:r w:rsidR="00284D41">
        <w:rPr>
          <w:rFonts w:ascii="Calibri" w:hAnsi="Calibri"/>
          <w:color w:val="000000"/>
        </w:rPr>
        <w:t>Model 1</w:t>
      </w:r>
      <w:r>
        <w:rPr>
          <w:rFonts w:ascii="Calibri" w:hAnsi="Calibri"/>
          <w:color w:val="000000"/>
        </w:rPr>
        <w:t>,</w:t>
      </w:r>
      <w:r w:rsidR="00284D41">
        <w:rPr>
          <w:rFonts w:ascii="Calibri" w:hAnsi="Calibri"/>
          <w:color w:val="000000"/>
        </w:rPr>
        <w:t xml:space="preserve"> with a common factor that follows a second-order autoregressive process</w:t>
      </w:r>
      <w:r>
        <w:rPr>
          <w:rFonts w:ascii="Calibri" w:hAnsi="Calibri"/>
          <w:color w:val="000000"/>
        </w:rPr>
        <w:t>,</w:t>
      </w:r>
      <w:r w:rsidR="00284D41">
        <w:rPr>
          <w:rFonts w:ascii="Calibri" w:hAnsi="Calibri"/>
          <w:color w:val="000000"/>
        </w:rPr>
        <w:t xml:space="preserve"> works for </w:t>
      </w:r>
      <w:r w:rsidR="00F27AE0">
        <w:rPr>
          <w:rFonts w:ascii="Calibri" w:hAnsi="Calibri"/>
          <w:color w:val="000000"/>
        </w:rPr>
        <w:t>all countries</w:t>
      </w:r>
      <w:r w:rsidR="00284D41">
        <w:rPr>
          <w:rFonts w:ascii="Calibri" w:hAnsi="Calibri"/>
          <w:color w:val="000000"/>
        </w:rPr>
        <w:t>, whereas f</w:t>
      </w:r>
      <w:r w:rsidR="00F27AE0">
        <w:rPr>
          <w:rFonts w:ascii="Calibri" w:hAnsi="Calibri"/>
          <w:color w:val="000000"/>
        </w:rPr>
        <w:t xml:space="preserve">or the 50-day rolling volatility, </w:t>
      </w:r>
      <w:r>
        <w:rPr>
          <w:rFonts w:ascii="Calibri" w:hAnsi="Calibri"/>
          <w:color w:val="000000"/>
        </w:rPr>
        <w:t xml:space="preserve">the </w:t>
      </w:r>
      <w:r w:rsidR="00C9634E">
        <w:rPr>
          <w:rFonts w:ascii="Calibri" w:hAnsi="Calibri"/>
          <w:color w:val="000000"/>
        </w:rPr>
        <w:t xml:space="preserve">same model works for most markets/groups </w:t>
      </w:r>
      <w:r>
        <w:rPr>
          <w:rFonts w:ascii="Calibri" w:hAnsi="Calibri"/>
          <w:color w:val="000000"/>
        </w:rPr>
        <w:t xml:space="preserve">except </w:t>
      </w:r>
      <w:r w:rsidR="00C9634E">
        <w:rPr>
          <w:rFonts w:ascii="Calibri" w:hAnsi="Calibri"/>
          <w:color w:val="000000"/>
        </w:rPr>
        <w:t>Kuwait, Oman and Qatar.</w:t>
      </w:r>
      <w:r w:rsidR="00F27AE0">
        <w:rPr>
          <w:rFonts w:ascii="Calibri" w:hAnsi="Calibri"/>
          <w:color w:val="000000"/>
        </w:rPr>
        <w:t xml:space="preserve"> </w:t>
      </w:r>
    </w:p>
    <w:p w:rsidR="00125707" w:rsidRDefault="00F27AE0" w:rsidP="00B840F3">
      <w:pPr>
        <w:rPr>
          <w:rFonts w:ascii="Calibri" w:hAnsi="Calibri"/>
          <w:color w:val="000000"/>
        </w:rPr>
      </w:pPr>
      <w:r>
        <w:rPr>
          <w:rFonts w:ascii="Calibri" w:hAnsi="Calibri"/>
          <w:color w:val="000000"/>
        </w:rPr>
        <w:lastRenderedPageBreak/>
        <w:t xml:space="preserve">Table 10 shows the results pertaining to the DF model using the 10-day volatility series. </w:t>
      </w:r>
      <w:r w:rsidR="004B5722">
        <w:rPr>
          <w:rFonts w:ascii="Calibri" w:hAnsi="Calibri"/>
          <w:color w:val="000000"/>
        </w:rPr>
        <w:t>Save for Dubai’s financial investment sector, the commo</w:t>
      </w:r>
      <w:r w:rsidR="000C7A20">
        <w:rPr>
          <w:rFonts w:ascii="Calibri" w:hAnsi="Calibri"/>
          <w:color w:val="000000"/>
        </w:rPr>
        <w:t xml:space="preserve">n factor coefficient estimates </w:t>
      </w:r>
      <w:r w:rsidR="004B5722">
        <w:rPr>
          <w:rFonts w:ascii="Calibri" w:hAnsi="Calibri"/>
          <w:color w:val="000000"/>
        </w:rPr>
        <w:t>are statistically significant at the 5</w:t>
      </w:r>
      <w:r w:rsidR="00323DFD">
        <w:rPr>
          <w:rFonts w:ascii="Calibri" w:hAnsi="Calibri"/>
          <w:color w:val="000000"/>
        </w:rPr>
        <w:t>%</w:t>
      </w:r>
      <w:r w:rsidR="004B5722">
        <w:rPr>
          <w:rFonts w:ascii="Calibri" w:hAnsi="Calibri"/>
          <w:color w:val="000000"/>
        </w:rPr>
        <w:t xml:space="preserve"> level for all sectors</w:t>
      </w:r>
      <w:r w:rsidR="00B60D9A">
        <w:rPr>
          <w:rFonts w:ascii="Calibri" w:hAnsi="Calibri"/>
          <w:color w:val="000000"/>
        </w:rPr>
        <w:t xml:space="preserve"> and main </w:t>
      </w:r>
      <w:r w:rsidR="00DC0FD1">
        <w:rPr>
          <w:rFonts w:ascii="Calibri" w:hAnsi="Calibri"/>
          <w:color w:val="000000"/>
        </w:rPr>
        <w:t>indices</w:t>
      </w:r>
      <w:r w:rsidR="00B60D9A">
        <w:rPr>
          <w:rFonts w:ascii="Calibri" w:hAnsi="Calibri"/>
          <w:color w:val="000000"/>
        </w:rPr>
        <w:t>.</w:t>
      </w:r>
      <w:r w:rsidR="000C7A20">
        <w:rPr>
          <w:rFonts w:ascii="Calibri" w:hAnsi="Calibri"/>
          <w:color w:val="000000"/>
        </w:rPr>
        <w:t xml:space="preserve"> </w:t>
      </w:r>
      <w:r w:rsidR="0037787E">
        <w:rPr>
          <w:rFonts w:ascii="Calibri" w:hAnsi="Calibri"/>
          <w:color w:val="000000"/>
        </w:rPr>
        <w:t>The common factor is quite persistent</w:t>
      </w:r>
      <w:r w:rsidR="00323DFD">
        <w:rPr>
          <w:rFonts w:ascii="Calibri" w:hAnsi="Calibri"/>
          <w:color w:val="000000"/>
        </w:rPr>
        <w:t>,</w:t>
      </w:r>
      <w:r w:rsidR="0037787E">
        <w:rPr>
          <w:rFonts w:ascii="Calibri" w:hAnsi="Calibri"/>
          <w:color w:val="000000"/>
        </w:rPr>
        <w:t xml:space="preserve"> as indicated by the </w:t>
      </w:r>
      <w:r w:rsidR="007D4B58">
        <w:rPr>
          <w:rFonts w:ascii="Calibri" w:hAnsi="Calibri"/>
          <w:color w:val="000000"/>
        </w:rPr>
        <w:t xml:space="preserve">sum of </w:t>
      </w:r>
      <w:r w:rsidR="0037787E" w:rsidRPr="007D4B58">
        <w:rPr>
          <w:rFonts w:ascii="Calibri" w:hAnsi="Calibri"/>
          <w:i/>
          <w:color w:val="000000"/>
        </w:rPr>
        <w:t>d</w:t>
      </w:r>
      <w:r w:rsidR="0037787E" w:rsidRPr="007D4B58">
        <w:rPr>
          <w:rFonts w:ascii="Calibri" w:hAnsi="Calibri"/>
          <w:i/>
          <w:color w:val="000000"/>
          <w:vertAlign w:val="subscript"/>
        </w:rPr>
        <w:t>1</w:t>
      </w:r>
      <w:r w:rsidR="007D4B58">
        <w:rPr>
          <w:rFonts w:ascii="Calibri" w:hAnsi="Calibri"/>
          <w:color w:val="000000"/>
        </w:rPr>
        <w:t xml:space="preserve"> and </w:t>
      </w:r>
      <w:r w:rsidR="007D4B58" w:rsidRPr="007D4B58">
        <w:rPr>
          <w:rFonts w:ascii="Calibri" w:hAnsi="Calibri"/>
          <w:i/>
          <w:color w:val="000000"/>
        </w:rPr>
        <w:t>d</w:t>
      </w:r>
      <w:r w:rsidR="007D4B58" w:rsidRPr="007D4B58">
        <w:rPr>
          <w:rFonts w:ascii="Calibri" w:hAnsi="Calibri"/>
          <w:i/>
          <w:color w:val="000000"/>
          <w:vertAlign w:val="subscript"/>
        </w:rPr>
        <w:t>2</w:t>
      </w:r>
      <w:r w:rsidR="00DC7077">
        <w:rPr>
          <w:rFonts w:ascii="Calibri" w:hAnsi="Calibri"/>
          <w:color w:val="000000"/>
        </w:rPr>
        <w:t>, and shows</w:t>
      </w:r>
      <w:r w:rsidR="007D4B58">
        <w:rPr>
          <w:rFonts w:ascii="Calibri" w:hAnsi="Calibri"/>
          <w:color w:val="000000"/>
        </w:rPr>
        <w:t xml:space="preserve"> sign</w:t>
      </w:r>
      <w:r w:rsidR="00323DFD">
        <w:rPr>
          <w:rFonts w:ascii="Calibri" w:hAnsi="Calibri"/>
          <w:color w:val="000000"/>
        </w:rPr>
        <w:t>s</w:t>
      </w:r>
      <w:r w:rsidR="007D4B58">
        <w:rPr>
          <w:rFonts w:ascii="Calibri" w:hAnsi="Calibri"/>
          <w:color w:val="000000"/>
        </w:rPr>
        <w:t xml:space="preserve"> of explosion in certain cases</w:t>
      </w:r>
      <w:r w:rsidR="00DC7077">
        <w:rPr>
          <w:rFonts w:ascii="Calibri" w:hAnsi="Calibri"/>
          <w:color w:val="000000"/>
        </w:rPr>
        <w:t xml:space="preserve"> in response to shocks</w:t>
      </w:r>
      <w:r w:rsidR="007D4B58">
        <w:rPr>
          <w:rFonts w:ascii="Calibri" w:hAnsi="Calibri"/>
          <w:color w:val="000000"/>
        </w:rPr>
        <w:t>.</w:t>
      </w:r>
      <w:r w:rsidR="00AB0A2F">
        <w:rPr>
          <w:rFonts w:ascii="Calibri" w:hAnsi="Calibri"/>
          <w:color w:val="000000"/>
        </w:rPr>
        <w:t xml:space="preserve"> These features are also evident in Table 11 for the common factor</w:t>
      </w:r>
      <w:r w:rsidR="00DC7077">
        <w:rPr>
          <w:rFonts w:ascii="Calibri" w:hAnsi="Calibri"/>
          <w:color w:val="000000"/>
        </w:rPr>
        <w:t>s that emerge</w:t>
      </w:r>
      <w:r w:rsidR="00AB0A2F">
        <w:rPr>
          <w:rFonts w:ascii="Calibri" w:hAnsi="Calibri"/>
          <w:color w:val="000000"/>
        </w:rPr>
        <w:t xml:space="preserve"> from the 50-day volatility series.</w:t>
      </w:r>
      <w:r w:rsidR="00C9634E">
        <w:rPr>
          <w:rFonts w:ascii="Calibri" w:hAnsi="Calibri"/>
          <w:color w:val="000000"/>
        </w:rPr>
        <w:t xml:space="preserve"> We find the slope coefficient</w:t>
      </w:r>
      <w:r w:rsidR="00F31158">
        <w:rPr>
          <w:rFonts w:ascii="Calibri" w:hAnsi="Calibri"/>
          <w:color w:val="000000"/>
        </w:rPr>
        <w:t>s</w:t>
      </w:r>
      <w:r w:rsidR="00C9634E">
        <w:rPr>
          <w:rFonts w:ascii="Calibri" w:hAnsi="Calibri"/>
          <w:color w:val="000000"/>
        </w:rPr>
        <w:t xml:space="preserve"> for the common factor to be negative but statistically significant for all sectors in Kuwait.</w:t>
      </w:r>
      <w:r w:rsidR="00C9634E">
        <w:rPr>
          <w:rStyle w:val="FootnoteReference"/>
          <w:rFonts w:ascii="Calibri" w:hAnsi="Calibri"/>
          <w:color w:val="000000"/>
        </w:rPr>
        <w:footnoteReference w:id="17"/>
      </w:r>
      <w:r w:rsidR="00C9634E">
        <w:rPr>
          <w:rFonts w:ascii="Calibri" w:hAnsi="Calibri"/>
          <w:color w:val="000000"/>
        </w:rPr>
        <w:t xml:space="preserve"> </w:t>
      </w:r>
      <w:r w:rsidR="00F31158">
        <w:rPr>
          <w:rFonts w:ascii="Calibri" w:hAnsi="Calibri"/>
          <w:color w:val="000000"/>
        </w:rPr>
        <w:t>Therefore, irrespective of whether one use</w:t>
      </w:r>
      <w:r w:rsidR="00323DFD">
        <w:rPr>
          <w:rFonts w:ascii="Calibri" w:hAnsi="Calibri"/>
          <w:color w:val="000000"/>
        </w:rPr>
        <w:t>s</w:t>
      </w:r>
      <w:r w:rsidR="00F31158">
        <w:rPr>
          <w:rFonts w:ascii="Calibri" w:hAnsi="Calibri"/>
          <w:color w:val="000000"/>
        </w:rPr>
        <w:t xml:space="preserve"> a 10- or 50-day horizon, there is a common unobservable variable influencing the evolution of the return volatility series.</w:t>
      </w:r>
      <w:r w:rsidR="00563665">
        <w:rPr>
          <w:rStyle w:val="FootnoteReference"/>
          <w:rFonts w:ascii="Calibri" w:hAnsi="Calibri"/>
          <w:color w:val="000000"/>
        </w:rPr>
        <w:footnoteReference w:id="18"/>
      </w:r>
    </w:p>
    <w:p w:rsidR="0017713E" w:rsidRDefault="005F2E0E" w:rsidP="00B840F3">
      <w:pPr>
        <w:rPr>
          <w:rFonts w:ascii="Calibri" w:hAnsi="Calibri"/>
          <w:color w:val="000000"/>
        </w:rPr>
      </w:pPr>
      <w:r>
        <w:rPr>
          <w:rFonts w:ascii="Calibri" w:hAnsi="Calibri"/>
          <w:color w:val="000000"/>
        </w:rPr>
        <w:t xml:space="preserve">Given the finding that GCC stock markets are </w:t>
      </w:r>
      <w:r w:rsidR="00323DFD">
        <w:rPr>
          <w:rFonts w:ascii="Calibri" w:hAnsi="Calibri"/>
          <w:color w:val="000000"/>
        </w:rPr>
        <w:t xml:space="preserve">all </w:t>
      </w:r>
      <w:r>
        <w:rPr>
          <w:rFonts w:ascii="Calibri" w:hAnsi="Calibri"/>
          <w:color w:val="000000"/>
        </w:rPr>
        <w:t>driven by a common factor, the interesting question is to ask whether crude oil price return</w:t>
      </w:r>
      <w:r w:rsidR="00323DFD">
        <w:rPr>
          <w:rFonts w:ascii="Calibri" w:hAnsi="Calibri"/>
          <w:color w:val="000000"/>
        </w:rPr>
        <w:t>s</w:t>
      </w:r>
      <w:r>
        <w:rPr>
          <w:rFonts w:ascii="Calibri" w:hAnsi="Calibri"/>
          <w:color w:val="000000"/>
        </w:rPr>
        <w:t xml:space="preserve">/volatility can explain such </w:t>
      </w:r>
      <w:r w:rsidR="00323DFD">
        <w:rPr>
          <w:rFonts w:ascii="Calibri" w:hAnsi="Calibri"/>
          <w:color w:val="000000"/>
        </w:rPr>
        <w:t xml:space="preserve">a </w:t>
      </w:r>
      <w:r>
        <w:rPr>
          <w:rFonts w:ascii="Calibri" w:hAnsi="Calibri"/>
          <w:color w:val="000000"/>
        </w:rPr>
        <w:t>fac</w:t>
      </w:r>
      <w:r w:rsidR="00FB51D7">
        <w:rPr>
          <w:rFonts w:ascii="Calibri" w:hAnsi="Calibri"/>
          <w:color w:val="000000"/>
        </w:rPr>
        <w:t xml:space="preserve">tor. We tackle this question by estimating </w:t>
      </w:r>
      <w:r w:rsidR="007532DF">
        <w:rPr>
          <w:rFonts w:ascii="Calibri" w:hAnsi="Calibri"/>
          <w:color w:val="000000"/>
        </w:rPr>
        <w:t xml:space="preserve"> Eq. (8)</w:t>
      </w:r>
      <w:r w:rsidR="000F0028">
        <w:rPr>
          <w:rFonts w:ascii="Calibri" w:hAnsi="Calibri"/>
          <w:color w:val="000000"/>
        </w:rPr>
        <w:t xml:space="preserve"> with robust standard errors</w:t>
      </w:r>
      <w:r w:rsidR="00FB51D7">
        <w:rPr>
          <w:rFonts w:ascii="Calibri" w:hAnsi="Calibri"/>
          <w:color w:val="000000"/>
        </w:rPr>
        <w:t xml:space="preserve"> </w:t>
      </w:r>
      <w:r w:rsidR="007532DF">
        <w:rPr>
          <w:rFonts w:ascii="Calibri" w:hAnsi="Calibri"/>
          <w:color w:val="000000"/>
        </w:rPr>
        <w:t>while including</w:t>
      </w:r>
      <w:r w:rsidR="00D5078F">
        <w:rPr>
          <w:rFonts w:ascii="Calibri" w:hAnsi="Calibri"/>
          <w:color w:val="000000"/>
        </w:rPr>
        <w:t xml:space="preserve"> contemporaneous values and up to </w:t>
      </w:r>
      <w:r w:rsidR="00323DFD">
        <w:rPr>
          <w:rFonts w:ascii="Calibri" w:hAnsi="Calibri"/>
          <w:color w:val="000000"/>
        </w:rPr>
        <w:t xml:space="preserve">eight </w:t>
      </w:r>
      <w:r w:rsidR="00D5078F">
        <w:rPr>
          <w:rFonts w:ascii="Calibri" w:hAnsi="Calibri"/>
          <w:color w:val="000000"/>
        </w:rPr>
        <w:t>lags</w:t>
      </w:r>
      <w:r w:rsidR="000F0028">
        <w:rPr>
          <w:rFonts w:ascii="Calibri" w:hAnsi="Calibri"/>
          <w:color w:val="000000"/>
        </w:rPr>
        <w:t>, as per the general-to-specific approach</w:t>
      </w:r>
      <w:r w:rsidR="007532DF">
        <w:rPr>
          <w:rFonts w:ascii="Calibri" w:hAnsi="Calibri"/>
          <w:color w:val="000000"/>
        </w:rPr>
        <w:t>. Tables 1</w:t>
      </w:r>
      <w:r w:rsidR="00E15A18">
        <w:rPr>
          <w:rFonts w:ascii="Calibri" w:hAnsi="Calibri"/>
          <w:color w:val="000000"/>
        </w:rPr>
        <w:t>3</w:t>
      </w:r>
      <w:r w:rsidR="00E70F41">
        <w:rPr>
          <w:rFonts w:ascii="Calibri" w:hAnsi="Calibri"/>
          <w:color w:val="000000"/>
        </w:rPr>
        <w:t>, 1</w:t>
      </w:r>
      <w:r w:rsidR="00E15A18">
        <w:rPr>
          <w:rFonts w:ascii="Calibri" w:hAnsi="Calibri"/>
          <w:color w:val="000000"/>
        </w:rPr>
        <w:t>4</w:t>
      </w:r>
      <w:r w:rsidR="00E70F41">
        <w:rPr>
          <w:rFonts w:ascii="Calibri" w:hAnsi="Calibri"/>
          <w:color w:val="000000"/>
        </w:rPr>
        <w:t xml:space="preserve"> and 1</w:t>
      </w:r>
      <w:r w:rsidR="00E15A18">
        <w:rPr>
          <w:rFonts w:ascii="Calibri" w:hAnsi="Calibri"/>
          <w:color w:val="000000"/>
        </w:rPr>
        <w:t>5</w:t>
      </w:r>
      <w:r w:rsidR="00E70F41">
        <w:rPr>
          <w:rFonts w:ascii="Calibri" w:hAnsi="Calibri"/>
          <w:color w:val="000000"/>
        </w:rPr>
        <w:t xml:space="preserve"> report the results</w:t>
      </w:r>
      <w:r w:rsidR="007532DF">
        <w:rPr>
          <w:rFonts w:ascii="Calibri" w:hAnsi="Calibri"/>
          <w:color w:val="000000"/>
        </w:rPr>
        <w:t xml:space="preserve">. </w:t>
      </w:r>
      <w:r w:rsidR="00F642EE">
        <w:rPr>
          <w:rFonts w:ascii="Calibri" w:hAnsi="Calibri"/>
          <w:color w:val="000000"/>
        </w:rPr>
        <w:t>Table 1</w:t>
      </w:r>
      <w:r w:rsidR="00E15A18">
        <w:rPr>
          <w:rFonts w:ascii="Calibri" w:hAnsi="Calibri"/>
          <w:color w:val="000000"/>
        </w:rPr>
        <w:t>3</w:t>
      </w:r>
      <w:r w:rsidR="00F642EE">
        <w:rPr>
          <w:rFonts w:ascii="Calibri" w:hAnsi="Calibri"/>
          <w:color w:val="000000"/>
        </w:rPr>
        <w:t xml:space="preserve"> shows that</w:t>
      </w:r>
      <w:r w:rsidR="00E70F41">
        <w:rPr>
          <w:rFonts w:ascii="Calibri" w:hAnsi="Calibri"/>
          <w:color w:val="000000"/>
        </w:rPr>
        <w:t xml:space="preserve"> while</w:t>
      </w:r>
      <w:r w:rsidR="00F642EE">
        <w:rPr>
          <w:rFonts w:ascii="Calibri" w:hAnsi="Calibri"/>
          <w:color w:val="000000"/>
        </w:rPr>
        <w:t xml:space="preserve"> </w:t>
      </w:r>
      <w:r w:rsidR="000F0028">
        <w:rPr>
          <w:rFonts w:ascii="Calibri" w:hAnsi="Calibri"/>
          <w:color w:val="000000"/>
        </w:rPr>
        <w:t>contemporaneous oil price returns have no effect on the</w:t>
      </w:r>
      <w:r w:rsidR="00F642EE">
        <w:rPr>
          <w:rFonts w:ascii="Calibri" w:hAnsi="Calibri"/>
          <w:color w:val="000000"/>
        </w:rPr>
        <w:t xml:space="preserve"> common factor</w:t>
      </w:r>
      <w:r w:rsidR="00E70F41">
        <w:rPr>
          <w:rFonts w:ascii="Calibri" w:hAnsi="Calibri"/>
          <w:color w:val="000000"/>
        </w:rPr>
        <w:t xml:space="preserve">, the lagged effects are </w:t>
      </w:r>
      <w:r w:rsidR="00F642EE">
        <w:rPr>
          <w:rFonts w:ascii="Calibri" w:hAnsi="Calibri"/>
          <w:color w:val="000000"/>
        </w:rPr>
        <w:t xml:space="preserve">statistically significant </w:t>
      </w:r>
      <w:r w:rsidR="00E70F41">
        <w:rPr>
          <w:rFonts w:ascii="Calibri" w:hAnsi="Calibri"/>
          <w:color w:val="000000"/>
        </w:rPr>
        <w:t>for most models. We find statistically significant negative impacts when the common factor is extracted from Model 1 for Bahrain</w:t>
      </w:r>
      <w:r w:rsidR="00323DFD">
        <w:rPr>
          <w:rFonts w:ascii="Calibri" w:hAnsi="Calibri"/>
          <w:color w:val="000000"/>
        </w:rPr>
        <w:t>;</w:t>
      </w:r>
      <w:r w:rsidR="00E70F41">
        <w:rPr>
          <w:rFonts w:ascii="Calibri" w:hAnsi="Calibri"/>
          <w:color w:val="000000"/>
        </w:rPr>
        <w:t xml:space="preserve"> </w:t>
      </w:r>
      <w:r w:rsidR="004A2037">
        <w:rPr>
          <w:rFonts w:ascii="Calibri" w:hAnsi="Calibri"/>
          <w:color w:val="000000"/>
        </w:rPr>
        <w:t>Models 2, 3 and 4 for UAE</w:t>
      </w:r>
      <w:r w:rsidR="00323DFD">
        <w:rPr>
          <w:rFonts w:ascii="Calibri" w:hAnsi="Calibri"/>
          <w:color w:val="000000"/>
        </w:rPr>
        <w:t>–</w:t>
      </w:r>
      <w:r w:rsidR="004A2037">
        <w:rPr>
          <w:rFonts w:ascii="Calibri" w:hAnsi="Calibri"/>
          <w:color w:val="000000"/>
        </w:rPr>
        <w:t>Dubai</w:t>
      </w:r>
      <w:r w:rsidR="00323DFD">
        <w:rPr>
          <w:rFonts w:ascii="Calibri" w:hAnsi="Calibri"/>
          <w:color w:val="000000"/>
        </w:rPr>
        <w:t>;</w:t>
      </w:r>
      <w:r w:rsidR="004A2037">
        <w:rPr>
          <w:rFonts w:ascii="Calibri" w:hAnsi="Calibri"/>
          <w:color w:val="000000"/>
        </w:rPr>
        <w:t xml:space="preserve"> and Model 1 for UAE</w:t>
      </w:r>
      <w:r w:rsidR="00323DFD">
        <w:rPr>
          <w:rFonts w:ascii="Calibri" w:hAnsi="Calibri"/>
          <w:color w:val="000000"/>
        </w:rPr>
        <w:t>–</w:t>
      </w:r>
      <w:r w:rsidR="004A2037">
        <w:rPr>
          <w:rFonts w:ascii="Calibri" w:hAnsi="Calibri"/>
          <w:color w:val="000000"/>
        </w:rPr>
        <w:t xml:space="preserve">Abu Dhabi. The </w:t>
      </w:r>
      <w:r w:rsidR="00DB32EF">
        <w:rPr>
          <w:rFonts w:ascii="Calibri" w:hAnsi="Calibri"/>
          <w:color w:val="000000"/>
        </w:rPr>
        <w:t>R-</w:t>
      </w:r>
      <w:r w:rsidR="00323DFD">
        <w:rPr>
          <w:rFonts w:ascii="Calibri" w:hAnsi="Calibri"/>
          <w:color w:val="000000"/>
        </w:rPr>
        <w:t xml:space="preserve">squares </w:t>
      </w:r>
      <w:r w:rsidR="004A2037">
        <w:rPr>
          <w:rFonts w:ascii="Calibri" w:hAnsi="Calibri"/>
          <w:color w:val="000000"/>
        </w:rPr>
        <w:t>are quite small</w:t>
      </w:r>
      <w:r w:rsidR="00323DFD">
        <w:rPr>
          <w:rFonts w:ascii="Calibri" w:hAnsi="Calibri"/>
          <w:color w:val="000000"/>
        </w:rPr>
        <w:t>,</w:t>
      </w:r>
      <w:r w:rsidR="004A2037">
        <w:rPr>
          <w:rFonts w:ascii="Calibri" w:hAnsi="Calibri"/>
          <w:color w:val="000000"/>
        </w:rPr>
        <w:t xml:space="preserve"> varying from 1</w:t>
      </w:r>
      <w:r w:rsidR="00323DFD">
        <w:rPr>
          <w:rFonts w:ascii="Calibri" w:hAnsi="Calibri"/>
          <w:color w:val="000000"/>
        </w:rPr>
        <w:t>%</w:t>
      </w:r>
      <w:r w:rsidR="004A2037">
        <w:rPr>
          <w:rFonts w:ascii="Calibri" w:hAnsi="Calibri"/>
          <w:color w:val="000000"/>
        </w:rPr>
        <w:t xml:space="preserve"> to 11</w:t>
      </w:r>
      <w:r w:rsidR="00323DFD">
        <w:rPr>
          <w:rFonts w:ascii="Calibri" w:hAnsi="Calibri"/>
          <w:color w:val="000000"/>
        </w:rPr>
        <w:t>%</w:t>
      </w:r>
      <w:r w:rsidR="004A2037">
        <w:rPr>
          <w:rFonts w:ascii="Calibri" w:hAnsi="Calibri"/>
          <w:color w:val="000000"/>
        </w:rPr>
        <w:t>, thereby indicating that</w:t>
      </w:r>
      <w:r w:rsidR="0017713E">
        <w:rPr>
          <w:rFonts w:ascii="Calibri" w:hAnsi="Calibri"/>
          <w:color w:val="000000"/>
        </w:rPr>
        <w:t xml:space="preserve"> of all the variables</w:t>
      </w:r>
      <w:r w:rsidR="004A2037">
        <w:rPr>
          <w:rFonts w:ascii="Calibri" w:hAnsi="Calibri"/>
          <w:color w:val="000000"/>
        </w:rPr>
        <w:t xml:space="preserve"> underlying the </w:t>
      </w:r>
      <w:r w:rsidR="0017713E">
        <w:rPr>
          <w:rFonts w:ascii="Calibri" w:hAnsi="Calibri"/>
          <w:color w:val="000000"/>
        </w:rPr>
        <w:t>common dynamic</w:t>
      </w:r>
      <w:r w:rsidR="004A2037">
        <w:rPr>
          <w:rFonts w:ascii="Calibri" w:hAnsi="Calibri"/>
          <w:color w:val="000000"/>
        </w:rPr>
        <w:t xml:space="preserve"> of stock markets in the GCC, oil price return is one of them but not the principal driver. </w:t>
      </w:r>
    </w:p>
    <w:p w:rsidR="00E15A18" w:rsidRPr="00E15A18" w:rsidRDefault="00E15A18" w:rsidP="005E6E47">
      <w:pPr>
        <w:outlineLvl w:val="0"/>
        <w:rPr>
          <w:rFonts w:ascii="Calibri" w:hAnsi="Calibri"/>
          <w:b/>
          <w:color w:val="000000"/>
        </w:rPr>
      </w:pPr>
      <w:r w:rsidRPr="00E15A18">
        <w:rPr>
          <w:rFonts w:ascii="Calibri" w:hAnsi="Calibri"/>
          <w:b/>
          <w:color w:val="000000"/>
        </w:rPr>
        <w:t>Tables 13 to 15 about here</w:t>
      </w:r>
    </w:p>
    <w:p w:rsidR="0017713E" w:rsidRDefault="00E15A18" w:rsidP="00B840F3">
      <w:pPr>
        <w:rPr>
          <w:rFonts w:ascii="Calibri" w:hAnsi="Calibri"/>
          <w:color w:val="000000"/>
        </w:rPr>
      </w:pPr>
      <w:r>
        <w:rPr>
          <w:rFonts w:ascii="Calibri" w:hAnsi="Calibri"/>
          <w:color w:val="000000"/>
        </w:rPr>
        <w:t>Table 14</w:t>
      </w:r>
      <w:r w:rsidR="0017713E">
        <w:rPr>
          <w:rFonts w:ascii="Calibri" w:hAnsi="Calibri"/>
          <w:color w:val="000000"/>
        </w:rPr>
        <w:t xml:space="preserve"> presents the regression results</w:t>
      </w:r>
      <w:r w:rsidR="0095538D">
        <w:rPr>
          <w:rFonts w:ascii="Calibri" w:hAnsi="Calibri"/>
          <w:color w:val="000000"/>
        </w:rPr>
        <w:t xml:space="preserve"> linking the common factors to </w:t>
      </w:r>
      <w:r w:rsidR="00323DFD">
        <w:rPr>
          <w:rFonts w:ascii="Calibri" w:hAnsi="Calibri"/>
          <w:color w:val="000000"/>
        </w:rPr>
        <w:t xml:space="preserve">the </w:t>
      </w:r>
      <w:r w:rsidR="0095538D">
        <w:rPr>
          <w:rFonts w:ascii="Calibri" w:hAnsi="Calibri"/>
          <w:color w:val="000000"/>
        </w:rPr>
        <w:t>10-day rolling volatility in oil price return</w:t>
      </w:r>
      <w:r w:rsidR="00323DFD">
        <w:rPr>
          <w:rFonts w:ascii="Calibri" w:hAnsi="Calibri"/>
          <w:color w:val="000000"/>
        </w:rPr>
        <w:t>s</w:t>
      </w:r>
      <w:r w:rsidR="0095538D">
        <w:rPr>
          <w:rFonts w:ascii="Calibri" w:hAnsi="Calibri"/>
          <w:color w:val="000000"/>
        </w:rPr>
        <w:t xml:space="preserve">. </w:t>
      </w:r>
      <w:r w:rsidR="003B52B7">
        <w:rPr>
          <w:rFonts w:ascii="Calibri" w:hAnsi="Calibri"/>
          <w:color w:val="000000"/>
        </w:rPr>
        <w:t xml:space="preserve">For common factors originating from Models 1 and 3 only, </w:t>
      </w:r>
      <w:r w:rsidR="0095538D">
        <w:rPr>
          <w:rFonts w:ascii="Calibri" w:hAnsi="Calibri"/>
          <w:color w:val="000000"/>
        </w:rPr>
        <w:t>the contemporaneous effects</w:t>
      </w:r>
      <w:r w:rsidR="00323DFD">
        <w:rPr>
          <w:rFonts w:ascii="Calibri" w:hAnsi="Calibri"/>
          <w:color w:val="000000"/>
        </w:rPr>
        <w:t>,</w:t>
      </w:r>
      <w:r w:rsidR="0095538D">
        <w:rPr>
          <w:rFonts w:ascii="Calibri" w:hAnsi="Calibri"/>
          <w:color w:val="000000"/>
        </w:rPr>
        <w:t xml:space="preserve"> as well as </w:t>
      </w:r>
      <w:r w:rsidR="003B52B7">
        <w:rPr>
          <w:rFonts w:ascii="Calibri" w:hAnsi="Calibri"/>
          <w:color w:val="000000"/>
        </w:rPr>
        <w:t xml:space="preserve">past effects after </w:t>
      </w:r>
      <w:r w:rsidR="00323DFD">
        <w:rPr>
          <w:rFonts w:ascii="Calibri" w:hAnsi="Calibri"/>
          <w:color w:val="000000"/>
        </w:rPr>
        <w:t xml:space="preserve">eight </w:t>
      </w:r>
      <w:r w:rsidR="003B52B7">
        <w:rPr>
          <w:rFonts w:ascii="Calibri" w:hAnsi="Calibri"/>
          <w:color w:val="000000"/>
        </w:rPr>
        <w:t>days</w:t>
      </w:r>
      <w:r w:rsidR="00323DFD">
        <w:rPr>
          <w:rFonts w:ascii="Calibri" w:hAnsi="Calibri"/>
          <w:color w:val="000000"/>
        </w:rPr>
        <w:t>,</w:t>
      </w:r>
      <w:r w:rsidR="003B52B7">
        <w:rPr>
          <w:rFonts w:ascii="Calibri" w:hAnsi="Calibri"/>
          <w:color w:val="000000"/>
        </w:rPr>
        <w:t xml:space="preserve"> are</w:t>
      </w:r>
      <w:r w:rsidR="0095538D">
        <w:rPr>
          <w:rFonts w:ascii="Calibri" w:hAnsi="Calibri"/>
          <w:color w:val="000000"/>
        </w:rPr>
        <w:t xml:space="preserve"> positive </w:t>
      </w:r>
      <w:r w:rsidR="003B52B7">
        <w:rPr>
          <w:rFonts w:ascii="Calibri" w:hAnsi="Calibri"/>
          <w:color w:val="000000"/>
        </w:rPr>
        <w:t>and statistically</w:t>
      </w:r>
      <w:r w:rsidR="0095538D">
        <w:rPr>
          <w:rFonts w:ascii="Calibri" w:hAnsi="Calibri"/>
          <w:color w:val="000000"/>
        </w:rPr>
        <w:t xml:space="preserve"> significant.  </w:t>
      </w:r>
      <w:r w:rsidR="003B52B7">
        <w:rPr>
          <w:rFonts w:ascii="Calibri" w:hAnsi="Calibri"/>
          <w:color w:val="000000"/>
        </w:rPr>
        <w:t>The only exception is for Model 3</w:t>
      </w:r>
      <w:r w:rsidR="00DB32EF">
        <w:rPr>
          <w:rFonts w:ascii="Calibri" w:hAnsi="Calibri"/>
          <w:color w:val="000000"/>
        </w:rPr>
        <w:t>,</w:t>
      </w:r>
      <w:r w:rsidR="003B52B7">
        <w:rPr>
          <w:rFonts w:ascii="Calibri" w:hAnsi="Calibri"/>
          <w:color w:val="000000"/>
        </w:rPr>
        <w:t xml:space="preserve"> in the case of Oman</w:t>
      </w:r>
      <w:r w:rsidR="00DB32EF">
        <w:rPr>
          <w:rFonts w:ascii="Calibri" w:hAnsi="Calibri"/>
          <w:color w:val="000000"/>
        </w:rPr>
        <w:t>,</w:t>
      </w:r>
      <w:r w:rsidR="003B52B7">
        <w:rPr>
          <w:rFonts w:ascii="Calibri" w:hAnsi="Calibri"/>
          <w:color w:val="000000"/>
        </w:rPr>
        <w:t xml:space="preserve"> where the effects are negative and statistically significant.</w:t>
      </w:r>
      <w:r w:rsidR="00DB32EF">
        <w:rPr>
          <w:rFonts w:ascii="Calibri" w:hAnsi="Calibri"/>
          <w:color w:val="000000"/>
        </w:rPr>
        <w:t xml:space="preserve"> The R-square</w:t>
      </w:r>
      <w:r w:rsidR="00323DFD">
        <w:rPr>
          <w:rFonts w:ascii="Calibri" w:hAnsi="Calibri"/>
          <w:color w:val="000000"/>
        </w:rPr>
        <w:t>s</w:t>
      </w:r>
      <w:r w:rsidR="00E64BBF">
        <w:rPr>
          <w:rFonts w:ascii="Calibri" w:hAnsi="Calibri"/>
          <w:color w:val="000000"/>
        </w:rPr>
        <w:t xml:space="preserve"> fluctuate</w:t>
      </w:r>
      <w:r w:rsidR="0074092B">
        <w:rPr>
          <w:rFonts w:ascii="Calibri" w:hAnsi="Calibri"/>
          <w:color w:val="000000"/>
        </w:rPr>
        <w:t xml:space="preserve"> from 62</w:t>
      </w:r>
      <w:r w:rsidR="00323DFD">
        <w:rPr>
          <w:rFonts w:ascii="Calibri" w:hAnsi="Calibri"/>
          <w:color w:val="000000"/>
        </w:rPr>
        <w:t>%</w:t>
      </w:r>
      <w:r w:rsidR="003B52B7">
        <w:rPr>
          <w:rFonts w:ascii="Calibri" w:hAnsi="Calibri"/>
          <w:color w:val="000000"/>
        </w:rPr>
        <w:t xml:space="preserve"> to 79</w:t>
      </w:r>
      <w:r w:rsidR="00323DFD">
        <w:rPr>
          <w:rFonts w:ascii="Calibri" w:hAnsi="Calibri"/>
          <w:color w:val="000000"/>
        </w:rPr>
        <w:t>%</w:t>
      </w:r>
      <w:r w:rsidR="003B52B7">
        <w:rPr>
          <w:rFonts w:ascii="Calibri" w:hAnsi="Calibri"/>
          <w:color w:val="000000"/>
        </w:rPr>
        <w:t xml:space="preserve"> </w:t>
      </w:r>
      <w:r w:rsidR="0074092B">
        <w:rPr>
          <w:rFonts w:ascii="Calibri" w:hAnsi="Calibri"/>
          <w:color w:val="000000"/>
        </w:rPr>
        <w:t>with two outliers: Kuwait (Model 1: 7</w:t>
      </w:r>
      <w:r w:rsidR="00323DFD">
        <w:rPr>
          <w:rFonts w:ascii="Calibri" w:hAnsi="Calibri"/>
          <w:color w:val="000000"/>
        </w:rPr>
        <w:t>%</w:t>
      </w:r>
      <w:r w:rsidR="0074092B">
        <w:rPr>
          <w:rFonts w:ascii="Calibri" w:hAnsi="Calibri"/>
          <w:color w:val="000000"/>
        </w:rPr>
        <w:t xml:space="preserve">) and GCC  </w:t>
      </w:r>
      <w:r w:rsidR="00323DFD">
        <w:rPr>
          <w:rFonts w:ascii="Calibri" w:hAnsi="Calibri"/>
          <w:color w:val="000000"/>
        </w:rPr>
        <w:t>n</w:t>
      </w:r>
      <w:r w:rsidR="0074092B">
        <w:rPr>
          <w:rFonts w:ascii="Calibri" w:hAnsi="Calibri"/>
          <w:color w:val="000000"/>
        </w:rPr>
        <w:t xml:space="preserve">ational </w:t>
      </w:r>
      <w:r w:rsidR="00323DFD">
        <w:rPr>
          <w:rFonts w:ascii="Calibri" w:hAnsi="Calibri"/>
          <w:color w:val="000000"/>
        </w:rPr>
        <w:t>i</w:t>
      </w:r>
      <w:r w:rsidR="00DC0FD1">
        <w:rPr>
          <w:rFonts w:ascii="Calibri" w:hAnsi="Calibri"/>
          <w:color w:val="000000"/>
        </w:rPr>
        <w:t>ndices</w:t>
      </w:r>
      <w:r w:rsidR="0074092B">
        <w:rPr>
          <w:rFonts w:ascii="Calibri" w:hAnsi="Calibri"/>
          <w:color w:val="000000"/>
        </w:rPr>
        <w:t xml:space="preserve"> (Model 3: 10</w:t>
      </w:r>
      <w:r w:rsidR="00323DFD">
        <w:rPr>
          <w:rFonts w:ascii="Calibri" w:hAnsi="Calibri"/>
          <w:color w:val="000000"/>
        </w:rPr>
        <w:t>%</w:t>
      </w:r>
      <w:r w:rsidR="0074092B">
        <w:rPr>
          <w:rFonts w:ascii="Calibri" w:hAnsi="Calibri"/>
          <w:color w:val="000000"/>
        </w:rPr>
        <w:t>). When we turn to the impact of the 50-day rolling volatility</w:t>
      </w:r>
      <w:r>
        <w:rPr>
          <w:rFonts w:ascii="Calibri" w:hAnsi="Calibri"/>
          <w:color w:val="000000"/>
        </w:rPr>
        <w:t xml:space="preserve"> (Table 15</w:t>
      </w:r>
      <w:r w:rsidR="00800BD3">
        <w:rPr>
          <w:rFonts w:ascii="Calibri" w:hAnsi="Calibri"/>
          <w:color w:val="000000"/>
        </w:rPr>
        <w:t>)</w:t>
      </w:r>
      <w:r w:rsidR="0074092B">
        <w:rPr>
          <w:rFonts w:ascii="Calibri" w:hAnsi="Calibri"/>
          <w:color w:val="000000"/>
        </w:rPr>
        <w:t xml:space="preserve">, we find </w:t>
      </w:r>
      <w:r w:rsidR="00323DFD">
        <w:rPr>
          <w:rFonts w:ascii="Calibri" w:hAnsi="Calibri"/>
          <w:color w:val="000000"/>
        </w:rPr>
        <w:t xml:space="preserve">the </w:t>
      </w:r>
      <w:r w:rsidR="0074092B">
        <w:rPr>
          <w:rFonts w:ascii="Calibri" w:hAnsi="Calibri"/>
          <w:color w:val="000000"/>
        </w:rPr>
        <w:t>contemporaneous effects to be significant only for Qatar, Saudi Arabia, UAE</w:t>
      </w:r>
      <w:r w:rsidR="00323DFD">
        <w:rPr>
          <w:rFonts w:ascii="Calibri" w:hAnsi="Calibri"/>
          <w:color w:val="000000"/>
        </w:rPr>
        <w:t>–</w:t>
      </w:r>
      <w:r w:rsidR="0074092B">
        <w:rPr>
          <w:rFonts w:ascii="Calibri" w:hAnsi="Calibri"/>
          <w:color w:val="000000"/>
        </w:rPr>
        <w:t xml:space="preserve">Dubai, the GCC-wide sectors and the national </w:t>
      </w:r>
      <w:r w:rsidR="00DC0FD1">
        <w:rPr>
          <w:rFonts w:ascii="Calibri" w:hAnsi="Calibri"/>
          <w:color w:val="000000"/>
        </w:rPr>
        <w:t>indices</w:t>
      </w:r>
      <w:r w:rsidR="0074092B">
        <w:rPr>
          <w:rFonts w:ascii="Calibri" w:hAnsi="Calibri"/>
          <w:color w:val="000000"/>
        </w:rPr>
        <w:t xml:space="preserve">. There are no impacts after the eighth lag, </w:t>
      </w:r>
      <w:r w:rsidR="00323DFD">
        <w:rPr>
          <w:rFonts w:ascii="Calibri" w:hAnsi="Calibri"/>
          <w:color w:val="000000"/>
        </w:rPr>
        <w:t xml:space="preserve">except </w:t>
      </w:r>
      <w:r w:rsidR="0074092B">
        <w:rPr>
          <w:rFonts w:ascii="Calibri" w:hAnsi="Calibri"/>
          <w:color w:val="000000"/>
        </w:rPr>
        <w:t xml:space="preserve">for the GCC-wide sectors when the common factor is taken from Model 4. The </w:t>
      </w:r>
      <w:r w:rsidR="00DB32EF">
        <w:rPr>
          <w:rFonts w:ascii="Calibri" w:hAnsi="Calibri"/>
          <w:color w:val="000000"/>
        </w:rPr>
        <w:t>R-square</w:t>
      </w:r>
      <w:r w:rsidR="00323DFD">
        <w:rPr>
          <w:rFonts w:ascii="Calibri" w:hAnsi="Calibri"/>
          <w:color w:val="000000"/>
        </w:rPr>
        <w:t>s</w:t>
      </w:r>
      <w:r w:rsidR="0074092B">
        <w:rPr>
          <w:rFonts w:ascii="Calibri" w:hAnsi="Calibri"/>
          <w:color w:val="000000"/>
        </w:rPr>
        <w:t xml:space="preserve"> lie between 54</w:t>
      </w:r>
      <w:r w:rsidR="00323DFD">
        <w:rPr>
          <w:rFonts w:ascii="Calibri" w:hAnsi="Calibri"/>
          <w:color w:val="000000"/>
        </w:rPr>
        <w:t>%</w:t>
      </w:r>
      <w:r w:rsidR="0074092B">
        <w:rPr>
          <w:rFonts w:ascii="Calibri" w:hAnsi="Calibri"/>
          <w:color w:val="000000"/>
        </w:rPr>
        <w:t xml:space="preserve"> and 84</w:t>
      </w:r>
      <w:r w:rsidR="00323DFD">
        <w:rPr>
          <w:rFonts w:ascii="Calibri" w:hAnsi="Calibri"/>
          <w:color w:val="000000"/>
        </w:rPr>
        <w:t>%</w:t>
      </w:r>
      <w:r w:rsidR="0074092B">
        <w:rPr>
          <w:rFonts w:ascii="Calibri" w:hAnsi="Calibri"/>
          <w:color w:val="000000"/>
        </w:rPr>
        <w:t xml:space="preserve"> with two exceptions: </w:t>
      </w:r>
      <w:r w:rsidR="00033D9B">
        <w:rPr>
          <w:rFonts w:ascii="Calibri" w:hAnsi="Calibri"/>
          <w:color w:val="000000"/>
        </w:rPr>
        <w:t xml:space="preserve">GCC-wide sectors and GCC </w:t>
      </w:r>
      <w:r w:rsidR="00323DFD">
        <w:rPr>
          <w:rFonts w:ascii="Calibri" w:hAnsi="Calibri"/>
          <w:color w:val="000000"/>
        </w:rPr>
        <w:t>n</w:t>
      </w:r>
      <w:r w:rsidR="00033D9B">
        <w:rPr>
          <w:rFonts w:ascii="Calibri" w:hAnsi="Calibri"/>
          <w:color w:val="000000"/>
        </w:rPr>
        <w:t xml:space="preserve">ational </w:t>
      </w:r>
      <w:r w:rsidR="00323DFD">
        <w:rPr>
          <w:rFonts w:ascii="Calibri" w:hAnsi="Calibri"/>
          <w:color w:val="000000"/>
        </w:rPr>
        <w:t>i</w:t>
      </w:r>
      <w:r w:rsidR="00DC0FD1">
        <w:rPr>
          <w:rFonts w:ascii="Calibri" w:hAnsi="Calibri"/>
          <w:color w:val="000000"/>
        </w:rPr>
        <w:t>ndices</w:t>
      </w:r>
      <w:r w:rsidR="00033D9B">
        <w:rPr>
          <w:rFonts w:ascii="Calibri" w:hAnsi="Calibri"/>
          <w:color w:val="000000"/>
        </w:rPr>
        <w:t xml:space="preserve"> (Model 4: 15</w:t>
      </w:r>
      <w:r w:rsidR="00323DFD">
        <w:rPr>
          <w:rFonts w:ascii="Calibri" w:hAnsi="Calibri"/>
          <w:color w:val="000000"/>
        </w:rPr>
        <w:t>%</w:t>
      </w:r>
      <w:r w:rsidR="00033D9B">
        <w:rPr>
          <w:rFonts w:ascii="Calibri" w:hAnsi="Calibri"/>
          <w:color w:val="000000"/>
        </w:rPr>
        <w:t xml:space="preserve"> </w:t>
      </w:r>
      <w:r w:rsidR="00323DFD">
        <w:rPr>
          <w:rFonts w:ascii="Calibri" w:hAnsi="Calibri"/>
          <w:color w:val="000000"/>
        </w:rPr>
        <w:t>each</w:t>
      </w:r>
      <w:r w:rsidR="00033D9B">
        <w:rPr>
          <w:rFonts w:ascii="Calibri" w:hAnsi="Calibri"/>
          <w:color w:val="000000"/>
        </w:rPr>
        <w:t>)</w:t>
      </w:r>
      <w:r w:rsidR="00173718">
        <w:rPr>
          <w:rFonts w:ascii="Calibri" w:hAnsi="Calibri"/>
          <w:color w:val="000000"/>
        </w:rPr>
        <w:t>. These results suggest that the volatility of oil price return</w:t>
      </w:r>
      <w:r w:rsidR="00323DFD">
        <w:rPr>
          <w:rFonts w:ascii="Calibri" w:hAnsi="Calibri"/>
          <w:color w:val="000000"/>
        </w:rPr>
        <w:t>s</w:t>
      </w:r>
      <w:r w:rsidR="00173718">
        <w:rPr>
          <w:rFonts w:ascii="Calibri" w:hAnsi="Calibri"/>
          <w:color w:val="000000"/>
        </w:rPr>
        <w:t xml:space="preserve"> is the main driver of the common factor observed for each GCC stock market.</w:t>
      </w:r>
      <w:r w:rsidR="00173718">
        <w:rPr>
          <w:rStyle w:val="FootnoteReference"/>
          <w:rFonts w:ascii="Calibri" w:hAnsi="Calibri"/>
          <w:color w:val="000000"/>
        </w:rPr>
        <w:footnoteReference w:id="19"/>
      </w:r>
      <w:r w:rsidR="00173718">
        <w:rPr>
          <w:rFonts w:ascii="Calibri" w:hAnsi="Calibri"/>
          <w:color w:val="000000"/>
        </w:rPr>
        <w:t xml:space="preserve"> </w:t>
      </w:r>
      <w:r w:rsidR="00033D9B">
        <w:rPr>
          <w:rFonts w:ascii="Calibri" w:hAnsi="Calibri"/>
          <w:color w:val="000000"/>
        </w:rPr>
        <w:t xml:space="preserve"> </w:t>
      </w:r>
      <w:r w:rsidR="003B52B7">
        <w:rPr>
          <w:rFonts w:ascii="Calibri" w:hAnsi="Calibri"/>
          <w:color w:val="000000"/>
        </w:rPr>
        <w:t xml:space="preserve"> </w:t>
      </w:r>
    </w:p>
    <w:p w:rsidR="00E15A18" w:rsidRDefault="0054377A" w:rsidP="00AD62DE">
      <w:pPr>
        <w:rPr>
          <w:rFonts w:ascii="Calibri" w:eastAsiaTheme="minorEastAsia" w:hAnsi="Calibri"/>
          <w:color w:val="000000"/>
        </w:rPr>
      </w:pPr>
      <w:r>
        <w:rPr>
          <w:rFonts w:ascii="Calibri" w:eastAsiaTheme="minorEastAsia" w:hAnsi="Calibri"/>
          <w:color w:val="000000"/>
        </w:rPr>
        <w:lastRenderedPageBreak/>
        <w:t>In Table 16, w</w:t>
      </w:r>
      <w:r w:rsidR="00E15A18">
        <w:rPr>
          <w:rFonts w:ascii="Calibri" w:eastAsiaTheme="minorEastAsia" w:hAnsi="Calibri"/>
          <w:color w:val="000000"/>
        </w:rPr>
        <w:t xml:space="preserve">e display </w:t>
      </w:r>
      <w:r w:rsidR="00800BD3">
        <w:rPr>
          <w:rFonts w:ascii="Calibri" w:eastAsiaTheme="minorEastAsia" w:hAnsi="Calibri"/>
          <w:color w:val="000000"/>
        </w:rPr>
        <w:t xml:space="preserve">the results of </w:t>
      </w:r>
      <w:r w:rsidR="006362F6">
        <w:rPr>
          <w:rFonts w:ascii="Calibri" w:eastAsiaTheme="minorEastAsia" w:hAnsi="Calibri"/>
          <w:color w:val="000000"/>
        </w:rPr>
        <w:t xml:space="preserve">the investigation into </w:t>
      </w:r>
      <w:r w:rsidR="00A83DDE">
        <w:rPr>
          <w:rFonts w:ascii="Calibri" w:eastAsiaTheme="minorEastAsia" w:hAnsi="Calibri"/>
          <w:color w:val="000000"/>
        </w:rPr>
        <w:t xml:space="preserve">a common component underlying </w:t>
      </w:r>
      <w:r w:rsidR="00E64BBF">
        <w:rPr>
          <w:rFonts w:ascii="Calibri" w:eastAsiaTheme="minorEastAsia" w:hAnsi="Calibri"/>
          <w:color w:val="000000"/>
        </w:rPr>
        <w:t xml:space="preserve">the industry-level common factors across </w:t>
      </w:r>
      <w:r w:rsidR="00A83DDE">
        <w:rPr>
          <w:rFonts w:ascii="Calibri" w:eastAsiaTheme="minorEastAsia" w:hAnsi="Calibri"/>
          <w:color w:val="000000"/>
        </w:rPr>
        <w:t xml:space="preserve">the </w:t>
      </w:r>
      <w:r w:rsidR="00E64BBF">
        <w:rPr>
          <w:rFonts w:ascii="Calibri" w:eastAsiaTheme="minorEastAsia" w:hAnsi="Calibri"/>
          <w:color w:val="000000"/>
        </w:rPr>
        <w:t>GCC countries</w:t>
      </w:r>
      <w:r w:rsidR="00A83DDE">
        <w:rPr>
          <w:rFonts w:ascii="Calibri" w:eastAsiaTheme="minorEastAsia" w:hAnsi="Calibri"/>
          <w:color w:val="000000"/>
        </w:rPr>
        <w:t>, and its</w:t>
      </w:r>
      <w:r w:rsidR="00E64BBF">
        <w:rPr>
          <w:rFonts w:ascii="Calibri" w:eastAsiaTheme="minorEastAsia" w:hAnsi="Calibri"/>
          <w:color w:val="000000"/>
        </w:rPr>
        <w:t xml:space="preserve"> associat</w:t>
      </w:r>
      <w:r w:rsidR="00A83DDE">
        <w:rPr>
          <w:rFonts w:ascii="Calibri" w:eastAsiaTheme="minorEastAsia" w:hAnsi="Calibri"/>
          <w:color w:val="000000"/>
        </w:rPr>
        <w:t>ion</w:t>
      </w:r>
      <w:r w:rsidR="00E64BBF">
        <w:rPr>
          <w:rFonts w:ascii="Calibri" w:eastAsiaTheme="minorEastAsia" w:hAnsi="Calibri"/>
          <w:color w:val="000000"/>
        </w:rPr>
        <w:t xml:space="preserve"> with oil price returns and volatility.</w:t>
      </w:r>
      <w:r w:rsidR="000F4A1C">
        <w:rPr>
          <w:rStyle w:val="FootnoteReference"/>
          <w:rFonts w:ascii="Calibri" w:eastAsiaTheme="minorEastAsia" w:hAnsi="Calibri"/>
          <w:color w:val="000000"/>
        </w:rPr>
        <w:footnoteReference w:id="20"/>
      </w:r>
      <w:r w:rsidR="000F4A1C">
        <w:rPr>
          <w:rFonts w:ascii="Calibri" w:eastAsiaTheme="minorEastAsia" w:hAnsi="Calibri"/>
          <w:color w:val="000000"/>
        </w:rPr>
        <w:t xml:space="preserve">  We find, irrespective of the model e</w:t>
      </w:r>
      <w:r w:rsidR="00B2321F">
        <w:rPr>
          <w:rFonts w:ascii="Calibri" w:eastAsiaTheme="minorEastAsia" w:hAnsi="Calibri"/>
          <w:color w:val="000000"/>
        </w:rPr>
        <w:t>stimated, that the common component</w:t>
      </w:r>
      <w:r w:rsidR="000F4A1C">
        <w:rPr>
          <w:rFonts w:ascii="Calibri" w:eastAsiaTheme="minorEastAsia" w:hAnsi="Calibri"/>
          <w:color w:val="000000"/>
        </w:rPr>
        <w:t xml:space="preserve"> is </w:t>
      </w:r>
      <w:r w:rsidR="00B2321F">
        <w:rPr>
          <w:rFonts w:ascii="Calibri" w:eastAsiaTheme="minorEastAsia" w:hAnsi="Calibri"/>
          <w:color w:val="000000"/>
        </w:rPr>
        <w:t xml:space="preserve">positive and </w:t>
      </w:r>
      <w:r w:rsidR="000F4A1C">
        <w:rPr>
          <w:rFonts w:ascii="Calibri" w:eastAsiaTheme="minorEastAsia" w:hAnsi="Calibri"/>
          <w:color w:val="000000"/>
        </w:rPr>
        <w:t>statistically significant in each country’s common factor equation</w:t>
      </w:r>
      <w:r w:rsidR="00B2321F">
        <w:rPr>
          <w:rFonts w:ascii="Calibri" w:eastAsiaTheme="minorEastAsia" w:hAnsi="Calibri"/>
          <w:color w:val="000000"/>
        </w:rPr>
        <w:t xml:space="preserve"> and is also quite persistent. This layer of the analysis thus suggests the existence</w:t>
      </w:r>
      <w:r w:rsidR="00564E9E">
        <w:rPr>
          <w:rFonts w:ascii="Calibri" w:eastAsiaTheme="minorEastAsia" w:hAnsi="Calibri"/>
          <w:color w:val="000000"/>
        </w:rPr>
        <w:t xml:space="preserve"> of</w:t>
      </w:r>
      <w:r w:rsidR="00B2321F">
        <w:rPr>
          <w:rFonts w:ascii="Calibri" w:eastAsiaTheme="minorEastAsia" w:hAnsi="Calibri"/>
          <w:color w:val="000000"/>
        </w:rPr>
        <w:t xml:space="preserve"> a</w:t>
      </w:r>
      <w:r w:rsidR="00564E9E">
        <w:rPr>
          <w:rFonts w:ascii="Calibri" w:eastAsiaTheme="minorEastAsia" w:hAnsi="Calibri"/>
          <w:color w:val="000000"/>
        </w:rPr>
        <w:t>n overall</w:t>
      </w:r>
      <w:r w:rsidR="00B2321F">
        <w:rPr>
          <w:rFonts w:ascii="Calibri" w:eastAsiaTheme="minorEastAsia" w:hAnsi="Calibri"/>
          <w:color w:val="000000"/>
        </w:rPr>
        <w:t xml:space="preserve"> common driver of the GCC stock markets that is linked to </w:t>
      </w:r>
      <w:r w:rsidR="00564E9E">
        <w:rPr>
          <w:rFonts w:ascii="Calibri" w:eastAsiaTheme="minorEastAsia" w:hAnsi="Calibri"/>
          <w:color w:val="000000"/>
        </w:rPr>
        <w:t xml:space="preserve">national and </w:t>
      </w:r>
      <w:r w:rsidR="00B2321F">
        <w:rPr>
          <w:rFonts w:ascii="Calibri" w:eastAsiaTheme="minorEastAsia" w:hAnsi="Calibri"/>
          <w:color w:val="000000"/>
        </w:rPr>
        <w:t xml:space="preserve">sectoral markets dynamics despite </w:t>
      </w:r>
      <w:r>
        <w:rPr>
          <w:rFonts w:ascii="Calibri" w:eastAsiaTheme="minorEastAsia" w:hAnsi="Calibri"/>
          <w:color w:val="000000"/>
        </w:rPr>
        <w:t xml:space="preserve">their </w:t>
      </w:r>
      <w:r w:rsidR="00B2321F">
        <w:rPr>
          <w:rFonts w:ascii="Calibri" w:eastAsiaTheme="minorEastAsia" w:hAnsi="Calibri"/>
          <w:color w:val="000000"/>
        </w:rPr>
        <w:t>inherent differences</w:t>
      </w:r>
      <w:r w:rsidR="00564E9E">
        <w:rPr>
          <w:rFonts w:ascii="Calibri" w:eastAsiaTheme="minorEastAsia" w:hAnsi="Calibri"/>
          <w:color w:val="000000"/>
        </w:rPr>
        <w:t xml:space="preserve">. </w:t>
      </w:r>
    </w:p>
    <w:p w:rsidR="00E15A18" w:rsidRPr="00E15A18" w:rsidRDefault="00E15A18" w:rsidP="005E6E47">
      <w:pPr>
        <w:outlineLvl w:val="0"/>
        <w:rPr>
          <w:rFonts w:ascii="Calibri" w:eastAsiaTheme="minorEastAsia" w:hAnsi="Calibri"/>
          <w:b/>
          <w:color w:val="000000"/>
        </w:rPr>
      </w:pPr>
      <w:r w:rsidRPr="00E15A18">
        <w:rPr>
          <w:rFonts w:ascii="Calibri" w:eastAsiaTheme="minorEastAsia" w:hAnsi="Calibri"/>
          <w:b/>
          <w:color w:val="000000"/>
        </w:rPr>
        <w:t>Table 16 about here</w:t>
      </w:r>
    </w:p>
    <w:p w:rsidR="00AD62DE" w:rsidRDefault="00564E9E" w:rsidP="00AD62DE">
      <w:pPr>
        <w:rPr>
          <w:rFonts w:ascii="Calibri" w:hAnsi="Calibri"/>
          <w:color w:val="000000"/>
        </w:rPr>
      </w:pPr>
      <w:r>
        <w:rPr>
          <w:rFonts w:ascii="Calibri" w:eastAsiaTheme="minorEastAsia" w:hAnsi="Calibri"/>
          <w:color w:val="000000"/>
        </w:rPr>
        <w:t>The regression analysis</w:t>
      </w:r>
      <w:r w:rsidR="0054377A">
        <w:rPr>
          <w:rFonts w:ascii="Calibri" w:eastAsiaTheme="minorEastAsia" w:hAnsi="Calibri"/>
          <w:color w:val="000000"/>
        </w:rPr>
        <w:t>,</w:t>
      </w:r>
      <w:r>
        <w:rPr>
          <w:rFonts w:ascii="Calibri" w:eastAsiaTheme="minorEastAsia" w:hAnsi="Calibri"/>
          <w:color w:val="000000"/>
        </w:rPr>
        <w:t xml:space="preserve"> </w:t>
      </w:r>
      <w:r w:rsidR="0054377A">
        <w:rPr>
          <w:rFonts w:ascii="Calibri" w:eastAsiaTheme="minorEastAsia" w:hAnsi="Calibri"/>
          <w:color w:val="000000"/>
        </w:rPr>
        <w:t xml:space="preserve">using </w:t>
      </w:r>
      <w:r>
        <w:rPr>
          <w:rFonts w:ascii="Calibri" w:eastAsiaTheme="minorEastAsia" w:hAnsi="Calibri"/>
          <w:color w:val="000000"/>
        </w:rPr>
        <w:t>robust standard errors of the overall common factor</w:t>
      </w:r>
      <w:r w:rsidR="004F22FF">
        <w:rPr>
          <w:rFonts w:ascii="Calibri" w:eastAsiaTheme="minorEastAsia" w:hAnsi="Calibri"/>
          <w:color w:val="000000"/>
        </w:rPr>
        <w:t xml:space="preserve"> (</w:t>
      </w:r>
      <m:oMath>
        <m:acc>
          <m:accPr>
            <m:ctrlPr>
              <w:rPr>
                <w:rFonts w:ascii="Cambria Math" w:eastAsiaTheme="minorEastAsia" w:hAnsi="Cambria Math"/>
                <w:i/>
                <w:color w:val="000000"/>
                <w:sz w:val="20"/>
                <w:szCs w:val="20"/>
              </w:rPr>
            </m:ctrlPr>
          </m:accPr>
          <m:e>
            <m:sSub>
              <m:sSubPr>
                <m:ctrlPr>
                  <w:rPr>
                    <w:rFonts w:ascii="Cambria Math" w:eastAsiaTheme="minorEastAsia" w:hAnsi="Cambria Math"/>
                    <w:i/>
                    <w:color w:val="000000"/>
                    <w:sz w:val="20"/>
                    <w:szCs w:val="20"/>
                  </w:rPr>
                </m:ctrlPr>
              </m:sSubPr>
              <m:e>
                <m:r>
                  <w:rPr>
                    <w:rFonts w:ascii="Cambria Math" w:eastAsiaTheme="minorEastAsia" w:hAnsi="Cambria Math"/>
                    <w:color w:val="000000"/>
                    <w:sz w:val="20"/>
                    <w:szCs w:val="20"/>
                  </w:rPr>
                  <m:t>CF</m:t>
                </m:r>
              </m:e>
              <m:sub>
                <m:r>
                  <w:rPr>
                    <w:rFonts w:ascii="Cambria Math" w:eastAsiaTheme="minorEastAsia" w:hAnsi="Cambria Math"/>
                    <w:color w:val="000000"/>
                    <w:sz w:val="20"/>
                    <w:szCs w:val="20"/>
                  </w:rPr>
                  <m:t>t</m:t>
                </m:r>
              </m:sub>
            </m:sSub>
          </m:e>
        </m:acc>
        <m:r>
          <w:rPr>
            <w:rFonts w:ascii="Cambria Math" w:eastAsiaTheme="minorEastAsia" w:hAnsi="Cambria Math"/>
            <w:color w:val="000000"/>
            <w:sz w:val="20"/>
            <w:szCs w:val="20"/>
          </w:rPr>
          <m:t>),</m:t>
        </m:r>
      </m:oMath>
      <w:r>
        <w:rPr>
          <w:rFonts w:ascii="Calibri" w:eastAsiaTheme="minorEastAsia" w:hAnsi="Calibri"/>
          <w:color w:val="000000"/>
        </w:rPr>
        <w:t xml:space="preserve"> </w:t>
      </w:r>
      <w:r w:rsidR="0054377A">
        <w:rPr>
          <w:rFonts w:ascii="Calibri" w:eastAsiaTheme="minorEastAsia" w:hAnsi="Calibri"/>
          <w:color w:val="000000"/>
        </w:rPr>
        <w:t xml:space="preserve">of the </w:t>
      </w:r>
      <w:r>
        <w:rPr>
          <w:rFonts w:ascii="Calibri" w:eastAsiaTheme="minorEastAsia" w:hAnsi="Calibri"/>
          <w:color w:val="000000"/>
        </w:rPr>
        <w:t xml:space="preserve">contemporaneous and </w:t>
      </w:r>
      <w:r w:rsidR="004F22FF">
        <w:rPr>
          <w:rFonts w:ascii="Calibri" w:eastAsiaTheme="minorEastAsia" w:hAnsi="Calibri"/>
          <w:color w:val="000000"/>
        </w:rPr>
        <w:t xml:space="preserve">past effects of up to </w:t>
      </w:r>
      <w:r w:rsidR="0054377A">
        <w:rPr>
          <w:rFonts w:ascii="Calibri" w:eastAsiaTheme="minorEastAsia" w:hAnsi="Calibri"/>
          <w:color w:val="000000"/>
        </w:rPr>
        <w:t xml:space="preserve">eight </w:t>
      </w:r>
      <w:r>
        <w:rPr>
          <w:rFonts w:ascii="Calibri" w:eastAsiaTheme="minorEastAsia" w:hAnsi="Calibri"/>
          <w:color w:val="000000"/>
        </w:rPr>
        <w:t>lags of the oil price return</w:t>
      </w:r>
      <w:r w:rsidR="0054377A">
        <w:rPr>
          <w:rFonts w:ascii="Calibri" w:eastAsiaTheme="minorEastAsia" w:hAnsi="Calibri"/>
          <w:color w:val="000000"/>
        </w:rPr>
        <w:t>s</w:t>
      </w:r>
      <w:r>
        <w:rPr>
          <w:rFonts w:ascii="Calibri" w:eastAsiaTheme="minorEastAsia" w:hAnsi="Calibri"/>
          <w:color w:val="000000"/>
        </w:rPr>
        <w:t xml:space="preserve"> </w:t>
      </w:r>
      <w:r w:rsidR="00AD62DE">
        <w:rPr>
          <w:rFonts w:ascii="Calibri" w:eastAsiaTheme="minorEastAsia" w:hAnsi="Calibri"/>
          <w:color w:val="000000"/>
        </w:rPr>
        <w:t xml:space="preserve">confirms that </w:t>
      </w:r>
      <w:r w:rsidR="00AD62DE">
        <w:rPr>
          <w:rFonts w:ascii="Calibri" w:hAnsi="Calibri"/>
          <w:color w:val="000000"/>
        </w:rPr>
        <w:t>oil price return</w:t>
      </w:r>
      <w:r w:rsidR="0054377A">
        <w:rPr>
          <w:rFonts w:ascii="Calibri" w:hAnsi="Calibri"/>
          <w:color w:val="000000"/>
        </w:rPr>
        <w:t>s are</w:t>
      </w:r>
      <w:r w:rsidR="00AD62DE">
        <w:rPr>
          <w:rFonts w:ascii="Calibri" w:hAnsi="Calibri"/>
          <w:color w:val="000000"/>
        </w:rPr>
        <w:t xml:space="preserve"> </w:t>
      </w:r>
      <w:r w:rsidR="0054377A">
        <w:rPr>
          <w:rFonts w:ascii="Calibri" w:hAnsi="Calibri"/>
          <w:color w:val="000000"/>
        </w:rPr>
        <w:t>among</w:t>
      </w:r>
      <w:r w:rsidR="00AD62DE">
        <w:rPr>
          <w:rFonts w:ascii="Calibri" w:hAnsi="Calibri"/>
          <w:color w:val="000000"/>
        </w:rPr>
        <w:t xml:space="preserve"> the factors </w:t>
      </w:r>
      <w:r w:rsidR="0054377A">
        <w:rPr>
          <w:rFonts w:ascii="Calibri" w:hAnsi="Calibri"/>
          <w:color w:val="000000"/>
        </w:rPr>
        <w:t xml:space="preserve">that are </w:t>
      </w:r>
      <w:r w:rsidR="00AD62DE">
        <w:rPr>
          <w:rFonts w:ascii="Calibri" w:hAnsi="Calibri"/>
          <w:color w:val="000000"/>
        </w:rPr>
        <w:t xml:space="preserve">capable of explaining the dynamics of </w:t>
      </w:r>
      <w:r w:rsidR="0054377A">
        <w:rPr>
          <w:rFonts w:ascii="Calibri" w:hAnsi="Calibri"/>
          <w:color w:val="000000"/>
        </w:rPr>
        <w:t xml:space="preserve">the </w:t>
      </w:r>
      <w:r w:rsidR="00AD62DE">
        <w:rPr>
          <w:rFonts w:ascii="Calibri" w:hAnsi="Calibri"/>
          <w:color w:val="000000"/>
        </w:rPr>
        <w:t xml:space="preserve">GCC stock markets, but </w:t>
      </w:r>
      <w:r w:rsidR="0054377A">
        <w:rPr>
          <w:rFonts w:ascii="Calibri" w:hAnsi="Calibri"/>
          <w:color w:val="000000"/>
        </w:rPr>
        <w:t>they are</w:t>
      </w:r>
      <w:r w:rsidR="00AD62DE">
        <w:rPr>
          <w:rFonts w:ascii="Calibri" w:hAnsi="Calibri"/>
          <w:color w:val="000000"/>
        </w:rPr>
        <w:t xml:space="preserve"> not the most important one. </w:t>
      </w:r>
    </w:p>
    <w:p w:rsidR="004F22FF" w:rsidRPr="004F22FF" w:rsidRDefault="00B93993" w:rsidP="000C4E42">
      <w:pPr>
        <w:spacing w:before="240"/>
        <w:rPr>
          <w:rFonts w:ascii="Calibri" w:eastAsiaTheme="minorEastAsia" w:hAnsi="Calibri"/>
          <w:color w:val="000000"/>
          <w:sz w:val="20"/>
          <w:szCs w:val="20"/>
        </w:rPr>
      </w:pPr>
      <m:oMathPara>
        <m:oMath>
          <m:acc>
            <m:accPr>
              <m:ctrlPr>
                <w:rPr>
                  <w:rFonts w:ascii="Cambria Math" w:eastAsiaTheme="minorEastAsia" w:hAnsi="Cambria Math"/>
                  <w:i/>
                  <w:color w:val="000000"/>
                  <w:sz w:val="20"/>
                  <w:szCs w:val="20"/>
                </w:rPr>
              </m:ctrlPr>
            </m:accPr>
            <m:e>
              <m:sSub>
                <m:sSubPr>
                  <m:ctrlPr>
                    <w:rPr>
                      <w:rFonts w:ascii="Cambria Math" w:eastAsiaTheme="minorEastAsia" w:hAnsi="Cambria Math"/>
                      <w:i/>
                      <w:color w:val="000000"/>
                      <w:sz w:val="20"/>
                      <w:szCs w:val="20"/>
                    </w:rPr>
                  </m:ctrlPr>
                </m:sSubPr>
                <m:e>
                  <m:r>
                    <w:rPr>
                      <w:rFonts w:ascii="Cambria Math" w:eastAsiaTheme="minorEastAsia" w:hAnsi="Cambria Math"/>
                      <w:color w:val="000000"/>
                      <w:sz w:val="20"/>
                      <w:szCs w:val="20"/>
                    </w:rPr>
                    <m:t>CF</m:t>
                  </m:r>
                </m:e>
                <m:sub>
                  <m:r>
                    <w:rPr>
                      <w:rFonts w:ascii="Cambria Math" w:eastAsiaTheme="minorEastAsia" w:hAnsi="Cambria Math"/>
                      <w:color w:val="000000"/>
                      <w:sz w:val="20"/>
                      <w:szCs w:val="20"/>
                    </w:rPr>
                    <m:t>t</m:t>
                  </m:r>
                </m:sub>
              </m:sSub>
            </m:e>
          </m:acc>
          <m:r>
            <w:rPr>
              <w:rFonts w:ascii="Cambria Math" w:eastAsiaTheme="minorEastAsia" w:hAnsi="Cambria Math"/>
              <w:color w:val="000000"/>
              <w:sz w:val="20"/>
              <w:szCs w:val="20"/>
            </w:rPr>
            <m:t>=</m:t>
          </m:r>
          <m:f>
            <m:fPr>
              <m:type m:val="noBar"/>
              <m:ctrlPr>
                <w:rPr>
                  <w:rFonts w:ascii="Cambria Math" w:eastAsiaTheme="minorEastAsia" w:hAnsi="Cambria Math"/>
                  <w:i/>
                  <w:color w:val="000000"/>
                  <w:sz w:val="20"/>
                  <w:szCs w:val="20"/>
                </w:rPr>
              </m:ctrlPr>
            </m:fPr>
            <m:num>
              <m:r>
                <w:rPr>
                  <w:rFonts w:ascii="Cambria Math" w:eastAsiaTheme="minorEastAsia" w:hAnsi="Cambria Math"/>
                  <w:color w:val="000000"/>
                  <w:sz w:val="20"/>
                  <w:szCs w:val="20"/>
                </w:rPr>
                <m:t>0.02</m:t>
              </m:r>
              <m:sSub>
                <m:sSubPr>
                  <m:ctrlPr>
                    <w:rPr>
                      <w:rFonts w:ascii="Cambria Math" w:eastAsiaTheme="minorEastAsia" w:hAnsi="Cambria Math"/>
                      <w:i/>
                      <w:color w:val="000000"/>
                      <w:sz w:val="20"/>
                      <w:szCs w:val="20"/>
                    </w:rPr>
                  </m:ctrlPr>
                </m:sSubPr>
                <m:e>
                  <m:r>
                    <w:rPr>
                      <w:rFonts w:ascii="Cambria Math" w:eastAsiaTheme="minorEastAsia" w:hAnsi="Cambria Math"/>
                      <w:color w:val="000000"/>
                      <w:sz w:val="20"/>
                      <w:szCs w:val="20"/>
                    </w:rPr>
                    <m:t>O</m:t>
                  </m:r>
                </m:e>
                <m:sub>
                  <m:r>
                    <w:rPr>
                      <w:rFonts w:ascii="Cambria Math" w:eastAsiaTheme="minorEastAsia" w:hAnsi="Cambria Math"/>
                      <w:color w:val="000000"/>
                      <w:sz w:val="20"/>
                      <w:szCs w:val="20"/>
                    </w:rPr>
                    <m:t>t</m:t>
                  </m:r>
                </m:sub>
              </m:sSub>
            </m:num>
            <m:den>
              <m:d>
                <m:dPr>
                  <m:ctrlPr>
                    <w:rPr>
                      <w:rFonts w:ascii="Cambria Math" w:eastAsiaTheme="minorEastAsia" w:hAnsi="Cambria Math"/>
                      <w:i/>
                      <w:color w:val="000000"/>
                      <w:sz w:val="20"/>
                      <w:szCs w:val="20"/>
                    </w:rPr>
                  </m:ctrlPr>
                </m:dPr>
                <m:e>
                  <m:r>
                    <w:rPr>
                      <w:rFonts w:ascii="Cambria Math" w:eastAsiaTheme="minorEastAsia" w:hAnsi="Cambria Math"/>
                      <w:color w:val="000000"/>
                      <w:sz w:val="20"/>
                      <w:szCs w:val="20"/>
                    </w:rPr>
                    <m:t>3.16</m:t>
                  </m:r>
                </m:e>
              </m:d>
            </m:den>
          </m:f>
          <m:r>
            <w:rPr>
              <w:rFonts w:ascii="Cambria Math" w:eastAsiaTheme="minorEastAsia" w:hAnsi="Cambria Math"/>
              <w:color w:val="000000"/>
              <w:sz w:val="20"/>
              <w:szCs w:val="20"/>
            </w:rPr>
            <m:t>+</m:t>
          </m:r>
          <m:f>
            <m:fPr>
              <m:type m:val="noBar"/>
              <m:ctrlPr>
                <w:rPr>
                  <w:rFonts w:ascii="Cambria Math" w:eastAsiaTheme="minorEastAsia" w:hAnsi="Cambria Math"/>
                  <w:i/>
                  <w:color w:val="000000"/>
                  <w:sz w:val="20"/>
                  <w:szCs w:val="20"/>
                </w:rPr>
              </m:ctrlPr>
            </m:fPr>
            <m:num>
              <m:sSub>
                <m:sSubPr>
                  <m:ctrlPr>
                    <w:rPr>
                      <w:rFonts w:ascii="Cambria Math" w:eastAsiaTheme="minorEastAsia" w:hAnsi="Cambria Math"/>
                      <w:i/>
                      <w:color w:val="000000"/>
                      <w:sz w:val="20"/>
                      <w:szCs w:val="20"/>
                    </w:rPr>
                  </m:ctrlPr>
                </m:sSubPr>
                <m:e>
                  <m:r>
                    <w:rPr>
                      <w:rFonts w:ascii="Cambria Math" w:eastAsiaTheme="minorEastAsia" w:hAnsi="Cambria Math"/>
                      <w:color w:val="000000"/>
                      <w:sz w:val="20"/>
                      <w:szCs w:val="20"/>
                    </w:rPr>
                    <m:t>0.03O</m:t>
                  </m:r>
                </m:e>
                <m:sub>
                  <m:r>
                    <w:rPr>
                      <w:rFonts w:ascii="Cambria Math" w:eastAsiaTheme="minorEastAsia" w:hAnsi="Cambria Math"/>
                      <w:color w:val="000000"/>
                      <w:sz w:val="20"/>
                      <w:szCs w:val="20"/>
                    </w:rPr>
                    <m:t>t-1</m:t>
                  </m:r>
                </m:sub>
              </m:sSub>
            </m:num>
            <m:den>
              <m:d>
                <m:dPr>
                  <m:ctrlPr>
                    <w:rPr>
                      <w:rFonts w:ascii="Cambria Math" w:eastAsiaTheme="minorEastAsia" w:hAnsi="Cambria Math"/>
                      <w:i/>
                      <w:color w:val="000000"/>
                      <w:sz w:val="20"/>
                      <w:szCs w:val="20"/>
                    </w:rPr>
                  </m:ctrlPr>
                </m:dPr>
                <m:e>
                  <m:r>
                    <w:rPr>
                      <w:rFonts w:ascii="Cambria Math" w:eastAsiaTheme="minorEastAsia" w:hAnsi="Cambria Math"/>
                      <w:color w:val="000000"/>
                      <w:sz w:val="20"/>
                      <w:szCs w:val="20"/>
                    </w:rPr>
                    <m:t>4.34</m:t>
                  </m:r>
                </m:e>
              </m:d>
            </m:den>
          </m:f>
          <m:r>
            <w:rPr>
              <w:rFonts w:ascii="Cambria Math" w:eastAsiaTheme="minorEastAsia" w:hAnsi="Cambria Math"/>
              <w:color w:val="000000"/>
              <w:sz w:val="20"/>
              <w:szCs w:val="20"/>
            </w:rPr>
            <m:t>+</m:t>
          </m:r>
          <m:f>
            <m:fPr>
              <m:type m:val="noBar"/>
              <m:ctrlPr>
                <w:rPr>
                  <w:rFonts w:ascii="Cambria Math" w:eastAsiaTheme="minorEastAsia" w:hAnsi="Cambria Math"/>
                  <w:i/>
                  <w:color w:val="000000"/>
                  <w:sz w:val="20"/>
                  <w:szCs w:val="20"/>
                </w:rPr>
              </m:ctrlPr>
            </m:fPr>
            <m:num>
              <m:sSub>
                <m:sSubPr>
                  <m:ctrlPr>
                    <w:rPr>
                      <w:rFonts w:ascii="Cambria Math" w:eastAsiaTheme="minorEastAsia" w:hAnsi="Cambria Math"/>
                      <w:i/>
                      <w:color w:val="000000"/>
                      <w:sz w:val="20"/>
                      <w:szCs w:val="20"/>
                    </w:rPr>
                  </m:ctrlPr>
                </m:sSubPr>
                <m:e>
                  <m:r>
                    <w:rPr>
                      <w:rFonts w:ascii="Cambria Math" w:eastAsiaTheme="minorEastAsia" w:hAnsi="Cambria Math"/>
                      <w:color w:val="000000"/>
                      <w:sz w:val="20"/>
                      <w:szCs w:val="20"/>
                    </w:rPr>
                    <m:t>0.02O</m:t>
                  </m:r>
                </m:e>
                <m:sub>
                  <m:r>
                    <w:rPr>
                      <w:rFonts w:ascii="Cambria Math" w:eastAsiaTheme="minorEastAsia" w:hAnsi="Cambria Math"/>
                      <w:color w:val="000000"/>
                      <w:sz w:val="20"/>
                      <w:szCs w:val="20"/>
                    </w:rPr>
                    <m:t>t-2</m:t>
                  </m:r>
                </m:sub>
              </m:sSub>
            </m:num>
            <m:den>
              <m:d>
                <m:dPr>
                  <m:ctrlPr>
                    <w:rPr>
                      <w:rFonts w:ascii="Cambria Math" w:eastAsiaTheme="minorEastAsia" w:hAnsi="Cambria Math"/>
                      <w:i/>
                      <w:color w:val="000000"/>
                      <w:sz w:val="20"/>
                      <w:szCs w:val="20"/>
                    </w:rPr>
                  </m:ctrlPr>
                </m:dPr>
                <m:e>
                  <m:r>
                    <w:rPr>
                      <w:rFonts w:ascii="Cambria Math" w:eastAsiaTheme="minorEastAsia" w:hAnsi="Cambria Math"/>
                      <w:color w:val="000000"/>
                      <w:sz w:val="20"/>
                      <w:szCs w:val="20"/>
                    </w:rPr>
                    <m:t>2.95</m:t>
                  </m:r>
                </m:e>
              </m:d>
            </m:den>
          </m:f>
          <m:r>
            <w:rPr>
              <w:rFonts w:ascii="Cambria Math" w:eastAsiaTheme="minorEastAsia" w:hAnsi="Cambria Math"/>
              <w:color w:val="000000"/>
              <w:sz w:val="20"/>
              <w:szCs w:val="20"/>
            </w:rPr>
            <m:t>+</m:t>
          </m:r>
          <m:f>
            <m:fPr>
              <m:type m:val="noBar"/>
              <m:ctrlPr>
                <w:rPr>
                  <w:rFonts w:ascii="Cambria Math" w:eastAsiaTheme="minorEastAsia" w:hAnsi="Cambria Math"/>
                  <w:i/>
                  <w:color w:val="000000"/>
                  <w:sz w:val="20"/>
                  <w:szCs w:val="20"/>
                </w:rPr>
              </m:ctrlPr>
            </m:fPr>
            <m:num>
              <m:sSub>
                <m:sSubPr>
                  <m:ctrlPr>
                    <w:rPr>
                      <w:rFonts w:ascii="Cambria Math" w:eastAsiaTheme="minorEastAsia" w:hAnsi="Cambria Math"/>
                      <w:i/>
                      <w:color w:val="000000"/>
                      <w:sz w:val="20"/>
                      <w:szCs w:val="20"/>
                    </w:rPr>
                  </m:ctrlPr>
                </m:sSubPr>
                <m:e>
                  <m:r>
                    <w:rPr>
                      <w:rFonts w:ascii="Cambria Math" w:eastAsiaTheme="minorEastAsia" w:hAnsi="Cambria Math"/>
                      <w:color w:val="000000"/>
                      <w:sz w:val="20"/>
                      <w:szCs w:val="20"/>
                    </w:rPr>
                    <m:t>0.016O</m:t>
                  </m:r>
                </m:e>
                <m:sub>
                  <m:r>
                    <w:rPr>
                      <w:rFonts w:ascii="Cambria Math" w:eastAsiaTheme="minorEastAsia" w:hAnsi="Cambria Math"/>
                      <w:color w:val="000000"/>
                      <w:sz w:val="20"/>
                      <w:szCs w:val="20"/>
                    </w:rPr>
                    <m:t>t-3</m:t>
                  </m:r>
                </m:sub>
              </m:sSub>
            </m:num>
            <m:den>
              <m:d>
                <m:dPr>
                  <m:ctrlPr>
                    <w:rPr>
                      <w:rFonts w:ascii="Cambria Math" w:eastAsiaTheme="minorEastAsia" w:hAnsi="Cambria Math"/>
                      <w:i/>
                      <w:color w:val="000000"/>
                      <w:sz w:val="20"/>
                      <w:szCs w:val="20"/>
                    </w:rPr>
                  </m:ctrlPr>
                </m:dPr>
                <m:e>
                  <m:r>
                    <w:rPr>
                      <w:rFonts w:ascii="Cambria Math" w:eastAsiaTheme="minorEastAsia" w:hAnsi="Cambria Math"/>
                      <w:color w:val="000000"/>
                      <w:sz w:val="20"/>
                      <w:szCs w:val="20"/>
                    </w:rPr>
                    <m:t>2.63</m:t>
                  </m:r>
                </m:e>
              </m:d>
            </m:den>
          </m:f>
          <m:r>
            <w:rPr>
              <w:rFonts w:ascii="Cambria Math" w:eastAsiaTheme="minorEastAsia" w:hAnsi="Cambria Math"/>
              <w:color w:val="000000"/>
              <w:sz w:val="20"/>
              <w:szCs w:val="20"/>
            </w:rPr>
            <m:t>+</m:t>
          </m:r>
          <m:f>
            <m:fPr>
              <m:type m:val="noBar"/>
              <m:ctrlPr>
                <w:rPr>
                  <w:rFonts w:ascii="Cambria Math" w:eastAsiaTheme="minorEastAsia" w:hAnsi="Cambria Math"/>
                  <w:i/>
                  <w:color w:val="000000"/>
                  <w:sz w:val="20"/>
                  <w:szCs w:val="20"/>
                </w:rPr>
              </m:ctrlPr>
            </m:fPr>
            <m:num>
              <m:sSub>
                <m:sSubPr>
                  <m:ctrlPr>
                    <w:rPr>
                      <w:rFonts w:ascii="Cambria Math" w:eastAsiaTheme="minorEastAsia" w:hAnsi="Cambria Math"/>
                      <w:i/>
                      <w:color w:val="000000"/>
                      <w:sz w:val="20"/>
                      <w:szCs w:val="20"/>
                    </w:rPr>
                  </m:ctrlPr>
                </m:sSubPr>
                <m:e>
                  <m:r>
                    <w:rPr>
                      <w:rFonts w:ascii="Cambria Math" w:eastAsiaTheme="minorEastAsia" w:hAnsi="Cambria Math"/>
                      <w:color w:val="000000"/>
                      <w:sz w:val="20"/>
                      <w:szCs w:val="20"/>
                    </w:rPr>
                    <m:t>0.018O</m:t>
                  </m:r>
                </m:e>
                <m:sub>
                  <m:r>
                    <w:rPr>
                      <w:rFonts w:ascii="Cambria Math" w:eastAsiaTheme="minorEastAsia" w:hAnsi="Cambria Math"/>
                      <w:color w:val="000000"/>
                      <w:sz w:val="20"/>
                      <w:szCs w:val="20"/>
                    </w:rPr>
                    <m:t>t-4</m:t>
                  </m:r>
                </m:sub>
              </m:sSub>
            </m:num>
            <m:den>
              <m:d>
                <m:dPr>
                  <m:ctrlPr>
                    <w:rPr>
                      <w:rFonts w:ascii="Cambria Math" w:eastAsiaTheme="minorEastAsia" w:hAnsi="Cambria Math"/>
                      <w:i/>
                      <w:color w:val="000000"/>
                      <w:sz w:val="20"/>
                      <w:szCs w:val="20"/>
                    </w:rPr>
                  </m:ctrlPr>
                </m:dPr>
                <m:e>
                  <m:r>
                    <w:rPr>
                      <w:rFonts w:ascii="Cambria Math" w:eastAsiaTheme="minorEastAsia" w:hAnsi="Cambria Math"/>
                      <w:color w:val="000000"/>
                      <w:sz w:val="20"/>
                      <w:szCs w:val="20"/>
                    </w:rPr>
                    <m:t>2.86</m:t>
                  </m:r>
                </m:e>
              </m:d>
            </m:den>
          </m:f>
          <m:r>
            <w:rPr>
              <w:rFonts w:ascii="Cambria Math" w:eastAsiaTheme="minorEastAsia" w:hAnsi="Cambria Math"/>
              <w:color w:val="000000"/>
              <w:sz w:val="20"/>
              <w:szCs w:val="20"/>
            </w:rPr>
            <m:t>+</m:t>
          </m:r>
          <m:f>
            <m:fPr>
              <m:type m:val="noBar"/>
              <m:ctrlPr>
                <w:rPr>
                  <w:rFonts w:ascii="Cambria Math" w:eastAsiaTheme="minorEastAsia" w:hAnsi="Cambria Math"/>
                  <w:i/>
                  <w:color w:val="000000"/>
                  <w:sz w:val="20"/>
                  <w:szCs w:val="20"/>
                </w:rPr>
              </m:ctrlPr>
            </m:fPr>
            <m:num>
              <m:sSub>
                <m:sSubPr>
                  <m:ctrlPr>
                    <w:rPr>
                      <w:rFonts w:ascii="Cambria Math" w:eastAsiaTheme="minorEastAsia" w:hAnsi="Cambria Math"/>
                      <w:i/>
                      <w:color w:val="000000"/>
                      <w:sz w:val="20"/>
                      <w:szCs w:val="20"/>
                    </w:rPr>
                  </m:ctrlPr>
                </m:sSubPr>
                <m:e>
                  <m:r>
                    <w:rPr>
                      <w:rFonts w:ascii="Cambria Math" w:eastAsiaTheme="minorEastAsia" w:hAnsi="Cambria Math"/>
                      <w:color w:val="000000"/>
                      <w:sz w:val="20"/>
                      <w:szCs w:val="20"/>
                    </w:rPr>
                    <m:t>0.01O</m:t>
                  </m:r>
                </m:e>
                <m:sub>
                  <m:r>
                    <w:rPr>
                      <w:rFonts w:ascii="Cambria Math" w:eastAsiaTheme="minorEastAsia" w:hAnsi="Cambria Math"/>
                      <w:color w:val="000000"/>
                      <w:sz w:val="20"/>
                      <w:szCs w:val="20"/>
                    </w:rPr>
                    <m:t>t-5</m:t>
                  </m:r>
                </m:sub>
              </m:sSub>
            </m:num>
            <m:den>
              <m:d>
                <m:dPr>
                  <m:ctrlPr>
                    <w:rPr>
                      <w:rFonts w:ascii="Cambria Math" w:eastAsiaTheme="minorEastAsia" w:hAnsi="Cambria Math"/>
                      <w:i/>
                      <w:color w:val="000000"/>
                      <w:sz w:val="20"/>
                      <w:szCs w:val="20"/>
                    </w:rPr>
                  </m:ctrlPr>
                </m:dPr>
                <m:e>
                  <m:r>
                    <w:rPr>
                      <w:rFonts w:ascii="Cambria Math" w:eastAsiaTheme="minorEastAsia" w:hAnsi="Cambria Math"/>
                      <w:color w:val="000000"/>
                      <w:sz w:val="20"/>
                      <w:szCs w:val="20"/>
                    </w:rPr>
                    <m:t>4.34</m:t>
                  </m:r>
                </m:e>
              </m:d>
            </m:den>
          </m:f>
          <m:r>
            <w:rPr>
              <w:rFonts w:ascii="Cambria Math" w:eastAsiaTheme="minorEastAsia" w:hAnsi="Cambria Math"/>
              <w:color w:val="000000"/>
              <w:sz w:val="20"/>
              <w:szCs w:val="20"/>
            </w:rPr>
            <m:t xml:space="preserve">    </m:t>
          </m:r>
        </m:oMath>
      </m:oMathPara>
    </w:p>
    <w:p w:rsidR="00920A08" w:rsidRPr="004F22FF" w:rsidRDefault="00B93993" w:rsidP="000C4E42">
      <w:pPr>
        <w:spacing w:before="240"/>
        <w:rPr>
          <w:rFonts w:ascii="Calibri" w:eastAsiaTheme="minorEastAsia" w:hAnsi="Calibri"/>
          <w:color w:val="000000"/>
          <w:sz w:val="20"/>
          <w:szCs w:val="20"/>
        </w:rPr>
      </w:pPr>
      <m:oMathPara>
        <m:oMath>
          <m:sSup>
            <m:sSupPr>
              <m:ctrlPr>
                <w:rPr>
                  <w:rFonts w:ascii="Cambria Math" w:eastAsiaTheme="minorEastAsia" w:hAnsi="Cambria Math"/>
                  <w:i/>
                  <w:color w:val="000000"/>
                  <w:sz w:val="20"/>
                  <w:szCs w:val="20"/>
                </w:rPr>
              </m:ctrlPr>
            </m:sSupPr>
            <m:e>
              <m:r>
                <w:rPr>
                  <w:rFonts w:ascii="Cambria Math" w:eastAsiaTheme="minorEastAsia" w:hAnsi="Cambria Math"/>
                  <w:color w:val="000000"/>
                  <w:sz w:val="20"/>
                  <w:szCs w:val="20"/>
                </w:rPr>
                <m:t>R</m:t>
              </m:r>
            </m:e>
            <m:sup>
              <m:r>
                <w:rPr>
                  <w:rFonts w:ascii="Cambria Math" w:eastAsiaTheme="minorEastAsia" w:hAnsi="Cambria Math"/>
                  <w:color w:val="000000"/>
                  <w:sz w:val="20"/>
                  <w:szCs w:val="20"/>
                </w:rPr>
                <m:t>2</m:t>
              </m:r>
            </m:sup>
          </m:sSup>
          <m:r>
            <w:rPr>
              <w:rFonts w:ascii="Cambria Math" w:eastAsiaTheme="minorEastAsia" w:hAnsi="Cambria Math"/>
              <w:color w:val="000000"/>
              <w:sz w:val="20"/>
              <w:szCs w:val="20"/>
            </w:rPr>
            <m:t>=0.14,  RMSE=0.43, and t statistics are in parentheses                                 (11)</m:t>
          </m:r>
        </m:oMath>
      </m:oMathPara>
    </w:p>
    <w:p w:rsidR="0017713E" w:rsidRDefault="004F22FF" w:rsidP="00B840F3">
      <w:pPr>
        <w:rPr>
          <w:rFonts w:ascii="Calibri" w:eastAsiaTheme="minorEastAsia" w:hAnsi="Calibri"/>
          <w:color w:val="000000"/>
        </w:rPr>
      </w:pPr>
      <w:r>
        <w:rPr>
          <w:rFonts w:ascii="Calibri" w:eastAsiaTheme="minorEastAsia" w:hAnsi="Calibri"/>
          <w:color w:val="000000"/>
        </w:rPr>
        <w:t xml:space="preserve">Results based on </w:t>
      </w:r>
      <w:r w:rsidR="0054377A">
        <w:rPr>
          <w:rFonts w:ascii="Calibri" w:eastAsiaTheme="minorEastAsia" w:hAnsi="Calibri"/>
          <w:color w:val="000000"/>
        </w:rPr>
        <w:t xml:space="preserve">the historical volatility of </w:t>
      </w:r>
      <w:r>
        <w:rPr>
          <w:rFonts w:ascii="Calibri" w:eastAsiaTheme="minorEastAsia" w:hAnsi="Calibri"/>
          <w:color w:val="000000"/>
        </w:rPr>
        <w:t>10- and 50-day rolling windows oil price did not produce any statistically significant coefficient</w:t>
      </w:r>
      <w:r w:rsidR="00514AF0">
        <w:rPr>
          <w:rFonts w:ascii="Calibri" w:eastAsiaTheme="minorEastAsia" w:hAnsi="Calibri"/>
          <w:color w:val="000000"/>
        </w:rPr>
        <w:t>s, thereby indicating that oil price volatility</w:t>
      </w:r>
      <w:r w:rsidR="005875FF">
        <w:rPr>
          <w:rFonts w:ascii="Calibri" w:eastAsiaTheme="minorEastAsia" w:hAnsi="Calibri"/>
          <w:color w:val="000000"/>
        </w:rPr>
        <w:t>, though quite important in explaining the dynamics of industry-level common factors,</w:t>
      </w:r>
      <w:r w:rsidR="00514AF0">
        <w:rPr>
          <w:rFonts w:ascii="Calibri" w:eastAsiaTheme="minorEastAsia" w:hAnsi="Calibri"/>
          <w:color w:val="000000"/>
        </w:rPr>
        <w:t xml:space="preserve"> does not influ</w:t>
      </w:r>
      <w:r w:rsidR="005875FF">
        <w:rPr>
          <w:rFonts w:ascii="Calibri" w:eastAsiaTheme="minorEastAsia" w:hAnsi="Calibri"/>
          <w:color w:val="000000"/>
        </w:rPr>
        <w:t>ence the dynamic</w:t>
      </w:r>
      <w:r w:rsidR="0054377A">
        <w:rPr>
          <w:rFonts w:ascii="Calibri" w:eastAsiaTheme="minorEastAsia" w:hAnsi="Calibri"/>
          <w:color w:val="000000"/>
        </w:rPr>
        <w:t>s</w:t>
      </w:r>
      <w:r w:rsidR="005875FF">
        <w:rPr>
          <w:rFonts w:ascii="Calibri" w:eastAsiaTheme="minorEastAsia" w:hAnsi="Calibri"/>
          <w:color w:val="000000"/>
        </w:rPr>
        <w:t xml:space="preserve"> of the </w:t>
      </w:r>
      <w:r w:rsidR="00514AF0">
        <w:rPr>
          <w:rFonts w:ascii="Calibri" w:eastAsiaTheme="minorEastAsia" w:hAnsi="Calibri"/>
          <w:color w:val="000000"/>
        </w:rPr>
        <w:t>common</w:t>
      </w:r>
      <w:r w:rsidR="005875FF">
        <w:rPr>
          <w:rFonts w:ascii="Calibri" w:eastAsiaTheme="minorEastAsia" w:hAnsi="Calibri"/>
          <w:color w:val="000000"/>
        </w:rPr>
        <w:t xml:space="preserve"> component of these </w:t>
      </w:r>
      <w:r w:rsidR="00514AF0">
        <w:rPr>
          <w:rFonts w:ascii="Calibri" w:eastAsiaTheme="minorEastAsia" w:hAnsi="Calibri"/>
          <w:color w:val="000000"/>
        </w:rPr>
        <w:t>factor</w:t>
      </w:r>
      <w:r w:rsidR="005875FF">
        <w:rPr>
          <w:rFonts w:ascii="Calibri" w:eastAsiaTheme="minorEastAsia" w:hAnsi="Calibri"/>
          <w:color w:val="000000"/>
        </w:rPr>
        <w:t xml:space="preserve">s. </w:t>
      </w:r>
    </w:p>
    <w:p w:rsidR="00514AF0" w:rsidRPr="0054377A" w:rsidRDefault="00E1141E" w:rsidP="005E6E47">
      <w:pPr>
        <w:outlineLvl w:val="0"/>
        <w:rPr>
          <w:rFonts w:ascii="Calibri" w:hAnsi="Calibri"/>
          <w:b/>
          <w:color w:val="000000"/>
        </w:rPr>
      </w:pPr>
      <w:r w:rsidRPr="00E1141E">
        <w:rPr>
          <w:rFonts w:ascii="Calibri" w:hAnsi="Calibri"/>
          <w:b/>
          <w:color w:val="000000"/>
        </w:rPr>
        <w:t>Conclusion</w:t>
      </w:r>
    </w:p>
    <w:p w:rsidR="00CE172D" w:rsidRDefault="00514AF0" w:rsidP="00B840F3">
      <w:pPr>
        <w:rPr>
          <w:rFonts w:ascii="Calibri" w:hAnsi="Calibri"/>
          <w:color w:val="000000"/>
        </w:rPr>
      </w:pPr>
      <w:r>
        <w:rPr>
          <w:rFonts w:ascii="Calibri" w:hAnsi="Calibri"/>
          <w:color w:val="000000"/>
        </w:rPr>
        <w:t xml:space="preserve">In this paper, </w:t>
      </w:r>
      <w:r w:rsidR="00CE172D">
        <w:rPr>
          <w:rFonts w:ascii="Calibri" w:hAnsi="Calibri"/>
          <w:color w:val="000000"/>
        </w:rPr>
        <w:t xml:space="preserve">we </w:t>
      </w:r>
      <w:r w:rsidR="004C15EF">
        <w:rPr>
          <w:rFonts w:ascii="Calibri" w:hAnsi="Calibri"/>
          <w:color w:val="000000"/>
        </w:rPr>
        <w:t>had the</w:t>
      </w:r>
      <w:r w:rsidR="00CE172D">
        <w:rPr>
          <w:rFonts w:ascii="Calibri" w:hAnsi="Calibri"/>
          <w:color w:val="000000"/>
        </w:rPr>
        <w:t xml:space="preserve"> objective </w:t>
      </w:r>
      <w:r w:rsidR="004C15EF">
        <w:rPr>
          <w:rFonts w:ascii="Calibri" w:hAnsi="Calibri"/>
          <w:color w:val="000000"/>
        </w:rPr>
        <w:t xml:space="preserve">of </w:t>
      </w:r>
      <w:r w:rsidR="00CE172D">
        <w:rPr>
          <w:rFonts w:ascii="Calibri" w:hAnsi="Calibri"/>
          <w:color w:val="000000"/>
        </w:rPr>
        <w:t>document</w:t>
      </w:r>
      <w:r w:rsidR="004C15EF">
        <w:rPr>
          <w:rFonts w:ascii="Calibri" w:hAnsi="Calibri"/>
          <w:color w:val="000000"/>
        </w:rPr>
        <w:t>ing</w:t>
      </w:r>
      <w:r w:rsidR="00CE172D">
        <w:rPr>
          <w:rFonts w:ascii="Calibri" w:hAnsi="Calibri"/>
          <w:color w:val="000000"/>
        </w:rPr>
        <w:t xml:space="preserve"> the degree of synchronicity between crude oi</w:t>
      </w:r>
      <w:r w:rsidR="00447F51">
        <w:rPr>
          <w:rFonts w:ascii="Calibri" w:hAnsi="Calibri"/>
          <w:color w:val="000000"/>
        </w:rPr>
        <w:t xml:space="preserve">l and stock markets in the GCC </w:t>
      </w:r>
      <w:r w:rsidR="00CE172D">
        <w:rPr>
          <w:rFonts w:ascii="Calibri" w:hAnsi="Calibri"/>
          <w:color w:val="000000"/>
        </w:rPr>
        <w:t>in line with the common</w:t>
      </w:r>
      <w:r w:rsidR="004C15EF">
        <w:rPr>
          <w:rFonts w:ascii="Calibri" w:hAnsi="Calibri"/>
          <w:color w:val="000000"/>
        </w:rPr>
        <w:t>ly</w:t>
      </w:r>
      <w:r w:rsidR="00CE172D">
        <w:rPr>
          <w:rFonts w:ascii="Calibri" w:hAnsi="Calibri"/>
          <w:color w:val="000000"/>
        </w:rPr>
        <w:t xml:space="preserve"> held view that oil constitute</w:t>
      </w:r>
      <w:r w:rsidR="00447F51">
        <w:rPr>
          <w:rFonts w:ascii="Calibri" w:hAnsi="Calibri"/>
          <w:color w:val="000000"/>
        </w:rPr>
        <w:t>s</w:t>
      </w:r>
      <w:r w:rsidR="00CE172D">
        <w:rPr>
          <w:rFonts w:ascii="Calibri" w:hAnsi="Calibri"/>
          <w:color w:val="000000"/>
        </w:rPr>
        <w:t xml:space="preserve"> the backbone of these economies. </w:t>
      </w:r>
      <w:r w:rsidR="00447F51">
        <w:rPr>
          <w:rFonts w:ascii="Calibri" w:hAnsi="Calibri"/>
          <w:color w:val="000000"/>
        </w:rPr>
        <w:t>We use the bivariate and multivariate synchronicity measures proposed by Mink et al. (2007) and daily data on sectoral, GCC-wide sectoral and national stock market data. The results show that cyclical fluctuations in oil price</w:t>
      </w:r>
      <w:r w:rsidR="004C15EF">
        <w:rPr>
          <w:rFonts w:ascii="Calibri" w:hAnsi="Calibri"/>
          <w:color w:val="000000"/>
        </w:rPr>
        <w:t>s</w:t>
      </w:r>
      <w:r w:rsidR="00447F51">
        <w:rPr>
          <w:rFonts w:ascii="Calibri" w:hAnsi="Calibri"/>
          <w:color w:val="000000"/>
        </w:rPr>
        <w:t xml:space="preserve"> and stock market returns are mildly synchronized</w:t>
      </w:r>
      <w:r w:rsidR="009D4AB9">
        <w:rPr>
          <w:rFonts w:ascii="Calibri" w:hAnsi="Calibri"/>
          <w:color w:val="000000"/>
        </w:rPr>
        <w:t xml:space="preserve"> (between 40</w:t>
      </w:r>
      <w:r w:rsidR="004C15EF">
        <w:rPr>
          <w:rFonts w:ascii="Calibri" w:hAnsi="Calibri"/>
          <w:color w:val="000000"/>
        </w:rPr>
        <w:t>%</w:t>
      </w:r>
      <w:r w:rsidR="009D4AB9">
        <w:rPr>
          <w:rFonts w:ascii="Calibri" w:hAnsi="Calibri"/>
          <w:color w:val="000000"/>
        </w:rPr>
        <w:t xml:space="preserve"> and 60</w:t>
      </w:r>
      <w:r w:rsidR="004C15EF">
        <w:rPr>
          <w:rFonts w:ascii="Calibri" w:hAnsi="Calibri"/>
          <w:color w:val="000000"/>
        </w:rPr>
        <w:t>%</w:t>
      </w:r>
      <w:r w:rsidR="009D4AB9">
        <w:rPr>
          <w:rFonts w:ascii="Calibri" w:hAnsi="Calibri"/>
          <w:color w:val="000000"/>
        </w:rPr>
        <w:t>)</w:t>
      </w:r>
      <w:r w:rsidR="004C15EF">
        <w:rPr>
          <w:rFonts w:ascii="Calibri" w:hAnsi="Calibri"/>
          <w:color w:val="000000"/>
        </w:rPr>
        <w:t>,</w:t>
      </w:r>
      <w:r w:rsidR="009D4AB9">
        <w:rPr>
          <w:rFonts w:ascii="Calibri" w:hAnsi="Calibri"/>
          <w:color w:val="000000"/>
        </w:rPr>
        <w:t xml:space="preserve"> whereas </w:t>
      </w:r>
      <w:r w:rsidR="004C15EF">
        <w:rPr>
          <w:rFonts w:ascii="Calibri" w:hAnsi="Calibri"/>
          <w:color w:val="000000"/>
        </w:rPr>
        <w:t xml:space="preserve">the fluctuations </w:t>
      </w:r>
      <w:r w:rsidR="009D4AB9">
        <w:rPr>
          <w:rFonts w:ascii="Calibri" w:hAnsi="Calibri"/>
          <w:color w:val="000000"/>
        </w:rPr>
        <w:t>of volatility fall between mild and strong (above 60</w:t>
      </w:r>
      <w:r w:rsidR="004C15EF">
        <w:rPr>
          <w:rFonts w:ascii="Calibri" w:hAnsi="Calibri"/>
          <w:color w:val="000000"/>
        </w:rPr>
        <w:t>%</w:t>
      </w:r>
      <w:r w:rsidR="009D4AB9">
        <w:rPr>
          <w:rFonts w:ascii="Calibri" w:hAnsi="Calibri"/>
          <w:color w:val="000000"/>
        </w:rPr>
        <w:t>). These results suggest that shocks to oil price volatility matter more than shocks to oil price return</w:t>
      </w:r>
      <w:r w:rsidR="004C15EF">
        <w:rPr>
          <w:rFonts w:ascii="Calibri" w:hAnsi="Calibri"/>
          <w:color w:val="000000"/>
        </w:rPr>
        <w:t>s</w:t>
      </w:r>
      <w:r w:rsidR="00CE172D">
        <w:rPr>
          <w:rFonts w:ascii="Calibri" w:hAnsi="Calibri"/>
          <w:color w:val="000000"/>
        </w:rPr>
        <w:t xml:space="preserve"> </w:t>
      </w:r>
      <w:r w:rsidR="009D4AB9">
        <w:rPr>
          <w:rFonts w:ascii="Calibri" w:hAnsi="Calibri"/>
          <w:color w:val="000000"/>
        </w:rPr>
        <w:t>for the GCC stock markets. Upon this finding, we reformulate the research ques</w:t>
      </w:r>
      <w:r w:rsidR="00B3348C">
        <w:rPr>
          <w:rFonts w:ascii="Calibri" w:hAnsi="Calibri"/>
          <w:color w:val="000000"/>
        </w:rPr>
        <w:t>tion with a twist by</w:t>
      </w:r>
      <w:r w:rsidR="009D4AB9">
        <w:rPr>
          <w:rFonts w:ascii="Calibri" w:hAnsi="Calibri"/>
          <w:color w:val="000000"/>
        </w:rPr>
        <w:t xml:space="preserve"> asking if we were to leave oil p</w:t>
      </w:r>
      <w:r w:rsidR="00B3348C">
        <w:rPr>
          <w:rFonts w:ascii="Calibri" w:hAnsi="Calibri"/>
          <w:color w:val="000000"/>
        </w:rPr>
        <w:t xml:space="preserve">rice return and volatility in standby, would we be able to find an underlying common factor driving the dynamics of the different GCC stock market groupings and </w:t>
      </w:r>
      <w:r w:rsidR="004C15EF">
        <w:rPr>
          <w:rFonts w:ascii="Calibri" w:hAnsi="Calibri"/>
          <w:color w:val="000000"/>
        </w:rPr>
        <w:t xml:space="preserve">– </w:t>
      </w:r>
      <w:r w:rsidR="00B3348C">
        <w:rPr>
          <w:rFonts w:ascii="Calibri" w:hAnsi="Calibri"/>
          <w:color w:val="000000"/>
        </w:rPr>
        <w:t>if and when we find that common factor</w:t>
      </w:r>
      <w:r w:rsidR="004C15EF">
        <w:rPr>
          <w:rFonts w:ascii="Calibri" w:hAnsi="Calibri"/>
          <w:color w:val="000000"/>
        </w:rPr>
        <w:t xml:space="preserve"> –</w:t>
      </w:r>
      <w:r w:rsidR="00B3348C">
        <w:rPr>
          <w:rFonts w:ascii="Calibri" w:hAnsi="Calibri"/>
          <w:color w:val="000000"/>
        </w:rPr>
        <w:t xml:space="preserve"> we can then ask whether its dynamics can be explained by oil price return and volatility</w:t>
      </w:r>
      <w:r w:rsidR="004C15EF">
        <w:rPr>
          <w:rFonts w:ascii="Calibri" w:hAnsi="Calibri"/>
          <w:color w:val="000000"/>
        </w:rPr>
        <w:t>?</w:t>
      </w:r>
    </w:p>
    <w:p w:rsidR="000443FB" w:rsidRDefault="00B3348C" w:rsidP="00B840F3">
      <w:pPr>
        <w:rPr>
          <w:rFonts w:ascii="Calibri" w:hAnsi="Calibri"/>
          <w:color w:val="000000"/>
        </w:rPr>
      </w:pPr>
      <w:r>
        <w:rPr>
          <w:rFonts w:ascii="Calibri" w:hAnsi="Calibri"/>
          <w:color w:val="000000"/>
        </w:rPr>
        <w:lastRenderedPageBreak/>
        <w:t>We</w:t>
      </w:r>
      <w:r w:rsidR="00514AF0">
        <w:rPr>
          <w:rFonts w:ascii="Calibri" w:hAnsi="Calibri"/>
          <w:color w:val="000000"/>
        </w:rPr>
        <w:t xml:space="preserve"> have shown</w:t>
      </w:r>
      <w:r w:rsidR="000443FB">
        <w:rPr>
          <w:rFonts w:ascii="Calibri" w:hAnsi="Calibri"/>
          <w:color w:val="000000"/>
        </w:rPr>
        <w:t xml:space="preserve"> that a distinct common factor </w:t>
      </w:r>
      <w:r w:rsidR="004C15EF">
        <w:rPr>
          <w:rFonts w:ascii="Calibri" w:hAnsi="Calibri"/>
          <w:color w:val="000000"/>
        </w:rPr>
        <w:t xml:space="preserve">underlyies </w:t>
      </w:r>
      <w:r w:rsidR="000443FB">
        <w:rPr>
          <w:rFonts w:ascii="Calibri" w:hAnsi="Calibri"/>
          <w:color w:val="000000"/>
        </w:rPr>
        <w:t xml:space="preserve">sectoral stock markets within each GCC country, </w:t>
      </w:r>
      <w:r w:rsidR="004C15EF">
        <w:rPr>
          <w:rFonts w:ascii="Calibri" w:hAnsi="Calibri"/>
          <w:color w:val="000000"/>
        </w:rPr>
        <w:t xml:space="preserve">and </w:t>
      </w:r>
      <w:r w:rsidR="000443FB">
        <w:rPr>
          <w:rFonts w:ascii="Calibri" w:hAnsi="Calibri"/>
          <w:color w:val="000000"/>
        </w:rPr>
        <w:t>the GCC-wide and GCC national stock markets. Shocks to oil price return explain the dynamic</w:t>
      </w:r>
      <w:r w:rsidR="004C15EF">
        <w:rPr>
          <w:rFonts w:ascii="Calibri" w:hAnsi="Calibri"/>
          <w:color w:val="000000"/>
        </w:rPr>
        <w:t>s</w:t>
      </w:r>
      <w:r w:rsidR="000443FB">
        <w:rPr>
          <w:rFonts w:ascii="Calibri" w:hAnsi="Calibri"/>
          <w:color w:val="000000"/>
        </w:rPr>
        <w:t xml:space="preserve"> of each common factor</w:t>
      </w:r>
      <w:r w:rsidR="004C15EF">
        <w:rPr>
          <w:rFonts w:ascii="Calibri" w:hAnsi="Calibri"/>
          <w:color w:val="000000"/>
        </w:rPr>
        <w:t>,</w:t>
      </w:r>
      <w:r w:rsidR="000443FB">
        <w:rPr>
          <w:rFonts w:ascii="Calibri" w:hAnsi="Calibri"/>
          <w:color w:val="000000"/>
        </w:rPr>
        <w:t xml:space="preserve"> with no clear evidence supporting the view that oil price is the main driver of the dynamics of </w:t>
      </w:r>
      <w:r w:rsidR="00E62BB4">
        <w:rPr>
          <w:rFonts w:ascii="Calibri" w:hAnsi="Calibri"/>
          <w:color w:val="000000"/>
        </w:rPr>
        <w:t xml:space="preserve">the stock market for </w:t>
      </w:r>
      <w:r w:rsidR="000443FB">
        <w:rPr>
          <w:rFonts w:ascii="Calibri" w:hAnsi="Calibri"/>
          <w:color w:val="000000"/>
        </w:rPr>
        <w:t xml:space="preserve">any of the groupings.  </w:t>
      </w:r>
      <w:r w:rsidR="00E62BB4">
        <w:rPr>
          <w:rFonts w:ascii="Calibri" w:hAnsi="Calibri"/>
          <w:color w:val="000000"/>
        </w:rPr>
        <w:t>Shocks inducing changes in oil price volatility, by contrast, are quite important.</w:t>
      </w:r>
      <w:r w:rsidR="00917423">
        <w:rPr>
          <w:rFonts w:ascii="Calibri" w:hAnsi="Calibri"/>
          <w:color w:val="000000"/>
        </w:rPr>
        <w:t xml:space="preserve"> Further research into the underlying common component of the industry-level common factors</w:t>
      </w:r>
      <w:r w:rsidR="00531E10">
        <w:rPr>
          <w:rFonts w:ascii="Calibri" w:hAnsi="Calibri"/>
          <w:color w:val="000000"/>
        </w:rPr>
        <w:t xml:space="preserve"> confirm the existence of such</w:t>
      </w:r>
      <w:r w:rsidR="004C15EF">
        <w:rPr>
          <w:rFonts w:ascii="Calibri" w:hAnsi="Calibri"/>
          <w:color w:val="000000"/>
        </w:rPr>
        <w:t xml:space="preserve"> an</w:t>
      </w:r>
      <w:r w:rsidR="00531E10">
        <w:rPr>
          <w:rFonts w:ascii="Calibri" w:hAnsi="Calibri"/>
          <w:color w:val="000000"/>
        </w:rPr>
        <w:t xml:space="preserve"> ov</w:t>
      </w:r>
      <w:r w:rsidR="00A006AF">
        <w:rPr>
          <w:rFonts w:ascii="Calibri" w:hAnsi="Calibri"/>
          <w:color w:val="000000"/>
        </w:rPr>
        <w:t xml:space="preserve">erall common driver, which is positively correlated with </w:t>
      </w:r>
      <w:r w:rsidR="004C15EF">
        <w:rPr>
          <w:rFonts w:ascii="Calibri" w:hAnsi="Calibri"/>
          <w:color w:val="000000"/>
        </w:rPr>
        <w:t xml:space="preserve">the common factors </w:t>
      </w:r>
      <w:r w:rsidR="00A006AF">
        <w:rPr>
          <w:rFonts w:ascii="Calibri" w:hAnsi="Calibri"/>
          <w:color w:val="000000"/>
        </w:rPr>
        <w:t xml:space="preserve">of the GCC-wide sectoral and the GCC national stock markets. For this unique industry-level common factor, representative of all sectors in the GCC, </w:t>
      </w:r>
      <w:r w:rsidR="004C15EF">
        <w:rPr>
          <w:rFonts w:ascii="Calibri" w:hAnsi="Calibri"/>
          <w:color w:val="000000"/>
        </w:rPr>
        <w:t xml:space="preserve">although </w:t>
      </w:r>
      <w:r w:rsidR="00A006AF">
        <w:rPr>
          <w:rFonts w:ascii="Calibri" w:hAnsi="Calibri"/>
          <w:color w:val="000000"/>
        </w:rPr>
        <w:t xml:space="preserve">the importance of shocks to oil price return does not change, volatility no longer carries </w:t>
      </w:r>
      <w:r w:rsidR="004C15EF">
        <w:rPr>
          <w:rFonts w:ascii="Calibri" w:hAnsi="Calibri"/>
          <w:color w:val="000000"/>
        </w:rPr>
        <w:t xml:space="preserve">any </w:t>
      </w:r>
      <w:r w:rsidR="00A006AF">
        <w:rPr>
          <w:rFonts w:ascii="Calibri" w:hAnsi="Calibri"/>
          <w:color w:val="000000"/>
        </w:rPr>
        <w:t>explanatory power</w:t>
      </w:r>
      <w:r w:rsidR="00CE172D">
        <w:rPr>
          <w:rFonts w:ascii="Calibri" w:hAnsi="Calibri"/>
          <w:color w:val="000000"/>
        </w:rPr>
        <w:t xml:space="preserve">.  </w:t>
      </w:r>
    </w:p>
    <w:p w:rsidR="009E1F9D" w:rsidRPr="004C15EF" w:rsidRDefault="00E1141E" w:rsidP="005E6E47">
      <w:pPr>
        <w:outlineLvl w:val="0"/>
        <w:rPr>
          <w:rFonts w:ascii="Calibri" w:hAnsi="Calibri"/>
          <w:b/>
          <w:color w:val="000000"/>
        </w:rPr>
      </w:pPr>
      <w:r w:rsidRPr="00E1141E">
        <w:rPr>
          <w:rFonts w:ascii="Calibri" w:hAnsi="Calibri"/>
          <w:b/>
          <w:color w:val="000000"/>
        </w:rPr>
        <w:t>Further research</w:t>
      </w:r>
    </w:p>
    <w:p w:rsidR="00315DFB" w:rsidRDefault="005D1688" w:rsidP="00B840F3">
      <w:pPr>
        <w:rPr>
          <w:rFonts w:ascii="Calibri" w:hAnsi="Calibri"/>
          <w:color w:val="000000"/>
        </w:rPr>
      </w:pPr>
      <w:r>
        <w:rPr>
          <w:rFonts w:ascii="Calibri" w:hAnsi="Calibri"/>
          <w:color w:val="000000"/>
        </w:rPr>
        <w:t>This paper has made a valuable contribution to t</w:t>
      </w:r>
      <w:r w:rsidR="0032664D">
        <w:rPr>
          <w:rFonts w:ascii="Calibri" w:hAnsi="Calibri"/>
          <w:color w:val="000000"/>
        </w:rPr>
        <w:t>he literature</w:t>
      </w:r>
      <w:r>
        <w:rPr>
          <w:rFonts w:ascii="Calibri" w:hAnsi="Calibri"/>
          <w:color w:val="000000"/>
        </w:rPr>
        <w:t xml:space="preserve"> by a</w:t>
      </w:r>
      <w:r w:rsidR="0032664D">
        <w:rPr>
          <w:rFonts w:ascii="Calibri" w:hAnsi="Calibri"/>
          <w:color w:val="000000"/>
        </w:rPr>
        <w:t>dvancing our understanding of</w:t>
      </w:r>
      <w:r>
        <w:rPr>
          <w:rFonts w:ascii="Calibri" w:hAnsi="Calibri"/>
          <w:color w:val="000000"/>
        </w:rPr>
        <w:t xml:space="preserve"> the linkage between crude oil and</w:t>
      </w:r>
      <w:r w:rsidR="004C15EF">
        <w:rPr>
          <w:rFonts w:ascii="Calibri" w:hAnsi="Calibri"/>
          <w:color w:val="000000"/>
        </w:rPr>
        <w:t xml:space="preserve"> the</w:t>
      </w:r>
      <w:r>
        <w:rPr>
          <w:rFonts w:ascii="Calibri" w:hAnsi="Calibri"/>
          <w:color w:val="000000"/>
        </w:rPr>
        <w:t xml:space="preserve"> GCC stock markets. A number of refinements, however, are worth exploring in the future. </w:t>
      </w:r>
      <w:r w:rsidR="004C15EF">
        <w:rPr>
          <w:rFonts w:ascii="Calibri" w:hAnsi="Calibri"/>
          <w:color w:val="000000"/>
        </w:rPr>
        <w:t>The f</w:t>
      </w:r>
      <w:r>
        <w:rPr>
          <w:rFonts w:ascii="Calibri" w:hAnsi="Calibri"/>
          <w:color w:val="000000"/>
        </w:rPr>
        <w:t xml:space="preserve">irst is the use of dynamic volatility decomposition such as CGARCH instead of rolling-windows historical volatility. </w:t>
      </w:r>
      <w:r w:rsidR="004C15EF">
        <w:rPr>
          <w:rFonts w:ascii="Calibri" w:hAnsi="Calibri"/>
          <w:color w:val="000000"/>
        </w:rPr>
        <w:t>The s</w:t>
      </w:r>
      <w:r w:rsidR="0032664D">
        <w:rPr>
          <w:rFonts w:ascii="Calibri" w:hAnsi="Calibri"/>
          <w:color w:val="000000"/>
        </w:rPr>
        <w:t xml:space="preserve">econd is the use of alternative measures of synchronicity like the ones used by Kalemli-Ozcan </w:t>
      </w:r>
      <w:r w:rsidR="00E1141E" w:rsidRPr="00E1141E">
        <w:rPr>
          <w:rFonts w:ascii="Calibri" w:hAnsi="Calibri"/>
          <w:i/>
          <w:color w:val="000000"/>
        </w:rPr>
        <w:t>et al.</w:t>
      </w:r>
      <w:r w:rsidR="004C15EF">
        <w:rPr>
          <w:rFonts w:ascii="Calibri" w:hAnsi="Calibri"/>
          <w:color w:val="000000"/>
        </w:rPr>
        <w:t xml:space="preserve"> (2011)</w:t>
      </w:r>
      <w:r w:rsidR="0032664D">
        <w:rPr>
          <w:rFonts w:ascii="Calibri" w:hAnsi="Calibri"/>
          <w:color w:val="000000"/>
        </w:rPr>
        <w:t xml:space="preserve">, </w:t>
      </w:r>
      <w:r w:rsidR="004C15EF">
        <w:rPr>
          <w:rFonts w:ascii="Calibri" w:hAnsi="Calibri"/>
          <w:color w:val="000000"/>
        </w:rPr>
        <w:t xml:space="preserve">which was </w:t>
      </w:r>
      <w:r w:rsidR="0032664D">
        <w:rPr>
          <w:rFonts w:ascii="Calibri" w:hAnsi="Calibri"/>
          <w:color w:val="000000"/>
        </w:rPr>
        <w:t>also laid out in the methodology section. T</w:t>
      </w:r>
      <w:r w:rsidR="004C15EF">
        <w:rPr>
          <w:rFonts w:ascii="Calibri" w:hAnsi="Calibri"/>
          <w:color w:val="000000"/>
        </w:rPr>
        <w:t>he t</w:t>
      </w:r>
      <w:r w:rsidR="0032664D">
        <w:rPr>
          <w:rFonts w:ascii="Calibri" w:hAnsi="Calibri"/>
          <w:color w:val="000000"/>
        </w:rPr>
        <w:t xml:space="preserve">hird is to consider stock prices at the firm level, and </w:t>
      </w:r>
      <w:r w:rsidR="004C15EF">
        <w:rPr>
          <w:rFonts w:ascii="Calibri" w:hAnsi="Calibri"/>
          <w:color w:val="000000"/>
        </w:rPr>
        <w:t xml:space="preserve">the </w:t>
      </w:r>
      <w:r w:rsidR="0032664D">
        <w:rPr>
          <w:rFonts w:ascii="Calibri" w:hAnsi="Calibri"/>
          <w:color w:val="000000"/>
        </w:rPr>
        <w:t xml:space="preserve">fourth is to expand the research to all other oil-exporting countries. </w:t>
      </w:r>
    </w:p>
    <w:p w:rsidR="00E2098B" w:rsidRDefault="00E2098B"/>
    <w:p w:rsidR="00F22D4A" w:rsidRDefault="00F22D4A">
      <w:r>
        <w:br w:type="page"/>
      </w:r>
    </w:p>
    <w:p w:rsidR="00F22D4A" w:rsidRPr="004C15EF" w:rsidRDefault="00E1141E">
      <w:pPr>
        <w:rPr>
          <w:b/>
        </w:rPr>
      </w:pPr>
      <w:r w:rsidRPr="00E1141E">
        <w:rPr>
          <w:b/>
        </w:rPr>
        <w:lastRenderedPageBreak/>
        <w:t>References</w:t>
      </w:r>
    </w:p>
    <w:p w:rsidR="009D0BD7" w:rsidRDefault="009D09ED" w:rsidP="00575105">
      <w:r>
        <w:t>Abraham A., F.</w:t>
      </w:r>
      <w:r w:rsidR="009D0BD7">
        <w:t xml:space="preserve"> J. Seyyed, </w:t>
      </w:r>
      <w:r w:rsidR="003738DF">
        <w:t xml:space="preserve">and </w:t>
      </w:r>
      <w:r w:rsidR="009D0BD7">
        <w:t xml:space="preserve">Ali Al-Elg, (2001). Analysis of diversification benefits of investing in the emerging gulf </w:t>
      </w:r>
      <w:r w:rsidR="00674202">
        <w:t>stock</w:t>
      </w:r>
      <w:r w:rsidR="009D0BD7">
        <w:t xml:space="preserve"> markets. </w:t>
      </w:r>
      <w:r w:rsidR="009D0BD7" w:rsidRPr="003738DF">
        <w:rPr>
          <w:i/>
        </w:rPr>
        <w:t>Managerial Finance</w:t>
      </w:r>
      <w:r w:rsidR="009D0BD7">
        <w:t xml:space="preserve">, 27 </w:t>
      </w:r>
      <w:r w:rsidR="00D35E28">
        <w:t>(</w:t>
      </w:r>
      <w:r w:rsidR="009D0BD7">
        <w:t>10/11</w:t>
      </w:r>
      <w:r w:rsidR="00D35E28">
        <w:t>):</w:t>
      </w:r>
      <w:r w:rsidR="009D0BD7">
        <w:t xml:space="preserve"> 47–57.</w:t>
      </w:r>
    </w:p>
    <w:p w:rsidR="00401A4D" w:rsidRDefault="009D09ED" w:rsidP="009D09ED">
      <w:r>
        <w:t xml:space="preserve">Abraham A., </w:t>
      </w:r>
      <w:r w:rsidR="003738DF">
        <w:t xml:space="preserve">J. </w:t>
      </w:r>
      <w:r>
        <w:t>Fazal</w:t>
      </w:r>
      <w:r w:rsidR="003738DF">
        <w:t>,</w:t>
      </w:r>
      <w:r>
        <w:t xml:space="preserve"> </w:t>
      </w:r>
      <w:r w:rsidR="003738DF">
        <w:t>S.  Seyyed,</w:t>
      </w:r>
      <w:r>
        <w:t xml:space="preserve"> </w:t>
      </w:r>
      <w:r w:rsidR="003738DF">
        <w:t xml:space="preserve">and </w:t>
      </w:r>
      <w:r>
        <w:t>A. Alsakran (</w:t>
      </w:r>
      <w:r w:rsidR="00EE43B6">
        <w:t>2002).</w:t>
      </w:r>
      <w:r>
        <w:t xml:space="preserve"> Testing the </w:t>
      </w:r>
      <w:r w:rsidR="00D35E28">
        <w:t>r</w:t>
      </w:r>
      <w:r>
        <w:t xml:space="preserve">andom </w:t>
      </w:r>
      <w:r w:rsidR="00D35E28">
        <w:t>w</w:t>
      </w:r>
      <w:r>
        <w:t xml:space="preserve">alk </w:t>
      </w:r>
      <w:r w:rsidR="00D35E28">
        <w:t>b</w:t>
      </w:r>
      <w:r>
        <w:t xml:space="preserve">ehavior and </w:t>
      </w:r>
      <w:r w:rsidR="00D35E28">
        <w:t>e</w:t>
      </w:r>
      <w:r>
        <w:t xml:space="preserve">fficiency of the Gulf </w:t>
      </w:r>
      <w:r w:rsidR="00D35E28">
        <w:t>s</w:t>
      </w:r>
      <w:r>
        <w:t xml:space="preserve">tock </w:t>
      </w:r>
      <w:r w:rsidR="00D35E28">
        <w:t>m</w:t>
      </w:r>
      <w:r>
        <w:t>arkets</w:t>
      </w:r>
      <w:r w:rsidR="00EE43B6">
        <w:t>.</w:t>
      </w:r>
      <w:r w:rsidR="00EE43B6" w:rsidRPr="00EE43B6">
        <w:t xml:space="preserve"> </w:t>
      </w:r>
      <w:r w:rsidR="00EE43B6" w:rsidRPr="003738DF">
        <w:rPr>
          <w:i/>
        </w:rPr>
        <w:t>Financial Review</w:t>
      </w:r>
      <w:r w:rsidR="00EE43B6">
        <w:t>, 37</w:t>
      </w:r>
      <w:r w:rsidR="00D35E28">
        <w:t xml:space="preserve"> (</w:t>
      </w:r>
      <w:r w:rsidR="00EE43B6">
        <w:t>3</w:t>
      </w:r>
      <w:r w:rsidR="00D35E28">
        <w:t>):</w:t>
      </w:r>
      <w:r w:rsidR="00EE43B6">
        <w:t xml:space="preserve"> 469–480.</w:t>
      </w:r>
      <w:r>
        <w:t xml:space="preserve">   </w:t>
      </w:r>
    </w:p>
    <w:p w:rsidR="009D09ED" w:rsidRDefault="00401A4D" w:rsidP="009D09ED">
      <w:r>
        <w:t xml:space="preserve">Abu Zarour, B. </w:t>
      </w:r>
      <w:r w:rsidR="003738DF">
        <w:t>(</w:t>
      </w:r>
      <w:r>
        <w:t>2006</w:t>
      </w:r>
      <w:r w:rsidR="003738DF">
        <w:t>)</w:t>
      </w:r>
      <w:r>
        <w:t xml:space="preserve">. Wild oil prices, but brave stock markets! The case of GCC stock markets. </w:t>
      </w:r>
      <w:r w:rsidRPr="003738DF">
        <w:rPr>
          <w:i/>
        </w:rPr>
        <w:t>Operational Research</w:t>
      </w:r>
      <w:r w:rsidR="003738DF" w:rsidRPr="003738DF">
        <w:rPr>
          <w:i/>
        </w:rPr>
        <w:t>:</w:t>
      </w:r>
      <w:r w:rsidRPr="003738DF">
        <w:rPr>
          <w:i/>
        </w:rPr>
        <w:t xml:space="preserve"> An International</w:t>
      </w:r>
      <w:r>
        <w:t xml:space="preserve"> </w:t>
      </w:r>
      <w:r w:rsidRPr="003738DF">
        <w:rPr>
          <w:i/>
        </w:rPr>
        <w:t>Journal</w:t>
      </w:r>
      <w:r>
        <w:t xml:space="preserve"> 6: 145</w:t>
      </w:r>
      <w:r w:rsidR="00D35E28">
        <w:t>–</w:t>
      </w:r>
      <w:r>
        <w:t>162.</w:t>
      </w:r>
      <w:r w:rsidR="009D09ED">
        <w:t xml:space="preserve"> </w:t>
      </w:r>
    </w:p>
    <w:p w:rsidR="00981C30" w:rsidRDefault="00981C30" w:rsidP="00575105">
      <w:r>
        <w:t>Al-Khazali, O., A. Darrat, and M. Saad (2006).  Inter-</w:t>
      </w:r>
      <w:r w:rsidR="00D35E28">
        <w:t>r</w:t>
      </w:r>
      <w:r>
        <w:t xml:space="preserve">egional </w:t>
      </w:r>
      <w:r w:rsidR="00D35E28">
        <w:t>i</w:t>
      </w:r>
      <w:r>
        <w:t xml:space="preserve">ntegration of the GCC </w:t>
      </w:r>
      <w:r w:rsidR="00D35E28">
        <w:t>s</w:t>
      </w:r>
      <w:r w:rsidR="00674202">
        <w:t>tock</w:t>
      </w:r>
      <w:r>
        <w:t xml:space="preserve"> </w:t>
      </w:r>
      <w:r w:rsidR="00D35E28">
        <w:t>m</w:t>
      </w:r>
      <w:r>
        <w:t xml:space="preserve">arkets: </w:t>
      </w:r>
      <w:r w:rsidR="00D35E28">
        <w:t>h</w:t>
      </w:r>
      <w:r>
        <w:t xml:space="preserve">as </w:t>
      </w:r>
      <w:r w:rsidR="00D35E28">
        <w:t>m</w:t>
      </w:r>
      <w:r>
        <w:t xml:space="preserve">arket </w:t>
      </w:r>
      <w:r w:rsidR="00D35E28">
        <w:t>l</w:t>
      </w:r>
      <w:r>
        <w:t xml:space="preserve">iberalization </w:t>
      </w:r>
      <w:r w:rsidR="00D35E28">
        <w:t>m</w:t>
      </w:r>
      <w:r>
        <w:t xml:space="preserve">ade a </w:t>
      </w:r>
      <w:r w:rsidR="00D35E28">
        <w:t>d</w:t>
      </w:r>
      <w:r>
        <w:t xml:space="preserve">ifference?  </w:t>
      </w:r>
      <w:r w:rsidRPr="003738DF">
        <w:rPr>
          <w:i/>
        </w:rPr>
        <w:t>Applied Financial Economics</w:t>
      </w:r>
      <w:r>
        <w:t>, 16</w:t>
      </w:r>
      <w:r w:rsidR="00D35E28">
        <w:t xml:space="preserve"> (</w:t>
      </w:r>
      <w:r>
        <w:t>17</w:t>
      </w:r>
      <w:r w:rsidR="00D35E28">
        <w:t>):</w:t>
      </w:r>
      <w:r>
        <w:t xml:space="preserve"> 1265</w:t>
      </w:r>
      <w:r w:rsidR="00D35E28">
        <w:t>–</w:t>
      </w:r>
      <w:r>
        <w:t>1272.</w:t>
      </w:r>
    </w:p>
    <w:p w:rsidR="00AB62D7" w:rsidRDefault="00AB62D7" w:rsidP="00575105">
      <w:r>
        <w:t xml:space="preserve">Al-Khazali, O., D. Ding, and C.S. Pyun (2007). A </w:t>
      </w:r>
      <w:r w:rsidR="00D35E28">
        <w:t>n</w:t>
      </w:r>
      <w:r>
        <w:t xml:space="preserve">ew </w:t>
      </w:r>
      <w:r w:rsidR="00D35E28">
        <w:t>v</w:t>
      </w:r>
      <w:r>
        <w:t xml:space="preserve">ariance </w:t>
      </w:r>
      <w:r w:rsidR="00D35E28">
        <w:t>r</w:t>
      </w:r>
      <w:r>
        <w:t xml:space="preserve">atio </w:t>
      </w:r>
      <w:r w:rsidR="00D35E28">
        <w:t>t</w:t>
      </w:r>
      <w:r>
        <w:t xml:space="preserve">est of </w:t>
      </w:r>
      <w:r w:rsidR="00D35E28">
        <w:t>r</w:t>
      </w:r>
      <w:r>
        <w:t xml:space="preserve">andom </w:t>
      </w:r>
      <w:r w:rsidR="00D35E28">
        <w:t>w</w:t>
      </w:r>
      <w:r>
        <w:t xml:space="preserve">alk in </w:t>
      </w:r>
      <w:r w:rsidR="00D35E28">
        <w:t>e</w:t>
      </w:r>
      <w:r>
        <w:t xml:space="preserve">merging </w:t>
      </w:r>
      <w:r w:rsidR="00D35E28">
        <w:t>m</w:t>
      </w:r>
      <w:r>
        <w:t xml:space="preserve">arkets: </w:t>
      </w:r>
      <w:r w:rsidR="00D35E28">
        <w:t>a</w:t>
      </w:r>
      <w:r>
        <w:t xml:space="preserve"> </w:t>
      </w:r>
      <w:r w:rsidR="00D35E28">
        <w:t>r</w:t>
      </w:r>
      <w:r>
        <w:t xml:space="preserve">evisit.  </w:t>
      </w:r>
      <w:r w:rsidRPr="003738DF">
        <w:rPr>
          <w:i/>
        </w:rPr>
        <w:t>Financial Review</w:t>
      </w:r>
      <w:r>
        <w:t>, 42</w:t>
      </w:r>
      <w:r w:rsidR="00D35E28">
        <w:t>:</w:t>
      </w:r>
      <w:r>
        <w:t xml:space="preserve"> 302</w:t>
      </w:r>
      <w:r w:rsidR="00D35E28">
        <w:t>–</w:t>
      </w:r>
      <w:r>
        <w:t>317.</w:t>
      </w:r>
    </w:p>
    <w:p w:rsidR="007A4518" w:rsidRDefault="00575105" w:rsidP="00575105">
      <w:r w:rsidRPr="00575105">
        <w:t xml:space="preserve">Aleisa, E., </w:t>
      </w:r>
      <w:r w:rsidR="003738DF">
        <w:t xml:space="preserve">S. </w:t>
      </w:r>
      <w:r w:rsidRPr="00575105">
        <w:t xml:space="preserve">Dibooglu, </w:t>
      </w:r>
      <w:r w:rsidR="00C225AC">
        <w:t>and</w:t>
      </w:r>
      <w:r w:rsidRPr="00575105">
        <w:t xml:space="preserve"> </w:t>
      </w:r>
      <w:r w:rsidR="003738DF">
        <w:t>D. Hammoudeh</w:t>
      </w:r>
      <w:r w:rsidRPr="00575105">
        <w:t xml:space="preserve">  (2003). Relationships among U.S. oil prices and oil industry </w:t>
      </w:r>
      <w:r w:rsidR="00674202">
        <w:t>stock</w:t>
      </w:r>
      <w:r w:rsidRPr="00575105">
        <w:t xml:space="preserve"> indices. </w:t>
      </w:r>
      <w:r w:rsidRPr="003738DF">
        <w:rPr>
          <w:i/>
        </w:rPr>
        <w:t>International Review of Economics and Finance</w:t>
      </w:r>
      <w:r w:rsidRPr="00575105">
        <w:t>, 15</w:t>
      </w:r>
      <w:r w:rsidR="00D35E28">
        <w:t>:</w:t>
      </w:r>
      <w:r w:rsidRPr="00575105">
        <w:t xml:space="preserve"> 1–29.</w:t>
      </w:r>
    </w:p>
    <w:p w:rsidR="00A01FA5" w:rsidRDefault="00A01FA5" w:rsidP="00A01FA5">
      <w:r w:rsidRPr="00A01FA5">
        <w:t>Andersen, T. and T. Bollerslev (1998)</w:t>
      </w:r>
      <w:r>
        <w:t xml:space="preserve">. </w:t>
      </w:r>
      <w:r w:rsidRPr="00A01FA5">
        <w:t xml:space="preserve">Answering the </w:t>
      </w:r>
      <w:r w:rsidR="00D35E28">
        <w:t>s</w:t>
      </w:r>
      <w:r w:rsidRPr="00A01FA5">
        <w:t xml:space="preserve">keptics: </w:t>
      </w:r>
      <w:r w:rsidR="00D35E28">
        <w:t>y</w:t>
      </w:r>
      <w:r w:rsidRPr="00A01FA5">
        <w:t xml:space="preserve">es, </w:t>
      </w:r>
      <w:r w:rsidR="00D35E28">
        <w:t>s</w:t>
      </w:r>
      <w:r w:rsidRPr="00A01FA5">
        <w:t xml:space="preserve">tandard </w:t>
      </w:r>
      <w:r w:rsidR="00D35E28">
        <w:t>v</w:t>
      </w:r>
      <w:r w:rsidRPr="00A01FA5">
        <w:t>olatility</w:t>
      </w:r>
      <w:r>
        <w:t xml:space="preserve"> </w:t>
      </w:r>
      <w:r w:rsidR="00D35E28">
        <w:t>m</w:t>
      </w:r>
      <w:r w:rsidRPr="00A01FA5">
        <w:t>odels</w:t>
      </w:r>
      <w:r>
        <w:t xml:space="preserve"> </w:t>
      </w:r>
      <w:r w:rsidR="00D35E28">
        <w:t>d</w:t>
      </w:r>
      <w:r>
        <w:t xml:space="preserve">o </w:t>
      </w:r>
      <w:r w:rsidR="00D35E28">
        <w:t>p</w:t>
      </w:r>
      <w:r>
        <w:t xml:space="preserve">rovide </w:t>
      </w:r>
      <w:r w:rsidR="00D35E28">
        <w:t>a</w:t>
      </w:r>
      <w:r>
        <w:t xml:space="preserve">ccurate </w:t>
      </w:r>
      <w:r w:rsidR="00D35E28">
        <w:t>f</w:t>
      </w:r>
      <w:r>
        <w:t xml:space="preserve">orecasts. </w:t>
      </w:r>
      <w:r w:rsidRPr="00A01FA5">
        <w:t xml:space="preserve"> </w:t>
      </w:r>
      <w:r w:rsidRPr="00A01FA5">
        <w:rPr>
          <w:i/>
          <w:iCs/>
        </w:rPr>
        <w:t>International Economic Review</w:t>
      </w:r>
      <w:r w:rsidRPr="00A01FA5">
        <w:t>, 39</w:t>
      </w:r>
      <w:r w:rsidR="00D35E28">
        <w:t>:</w:t>
      </w:r>
      <w:r w:rsidRPr="00A01FA5">
        <w:t xml:space="preserve"> 885</w:t>
      </w:r>
      <w:r w:rsidR="00D35E28">
        <w:t>–</w:t>
      </w:r>
      <w:r w:rsidRPr="00A01FA5">
        <w:t>905.</w:t>
      </w:r>
    </w:p>
    <w:p w:rsidR="00401A4D" w:rsidRDefault="00401A4D" w:rsidP="000A0EDC">
      <w:r w:rsidRPr="00114985">
        <w:t xml:space="preserve">Arouri, M. </w:t>
      </w:r>
      <w:r w:rsidR="00C225AC">
        <w:t>and</w:t>
      </w:r>
      <w:r w:rsidRPr="00114985">
        <w:t xml:space="preserve"> J. Fouquau (2009). </w:t>
      </w:r>
      <w:r w:rsidR="00114985" w:rsidRPr="00114985">
        <w:t xml:space="preserve">On the short-term influence of oil price changes on stock markets in gcc countries: linear and nonlinear analyses. </w:t>
      </w:r>
      <w:r w:rsidR="00114985" w:rsidRPr="003738DF">
        <w:rPr>
          <w:i/>
        </w:rPr>
        <w:t>Economics Bulletin</w:t>
      </w:r>
      <w:r w:rsidRPr="00114985">
        <w:t xml:space="preserve">, </w:t>
      </w:r>
      <w:r w:rsidR="00E1141E" w:rsidRPr="00E1141E">
        <w:rPr>
          <w:i/>
        </w:rPr>
        <w:t>AccessEcon</w:t>
      </w:r>
      <w:r w:rsidRPr="00114985">
        <w:t>, 29</w:t>
      </w:r>
      <w:r w:rsidR="00D35E28">
        <w:t xml:space="preserve"> </w:t>
      </w:r>
      <w:r w:rsidRPr="00114985">
        <w:t>(2)</w:t>
      </w:r>
      <w:r w:rsidR="00D35E28">
        <w:t>:</w:t>
      </w:r>
      <w:r w:rsidRPr="00114985">
        <w:t xml:space="preserve"> 795</w:t>
      </w:r>
      <w:r w:rsidR="00D35E28">
        <w:t>–</w:t>
      </w:r>
      <w:r w:rsidRPr="00114985">
        <w:t>804</w:t>
      </w:r>
      <w:r w:rsidR="00114985">
        <w:t>.</w:t>
      </w:r>
    </w:p>
    <w:p w:rsidR="005266FA" w:rsidRPr="005266FA" w:rsidRDefault="005266FA" w:rsidP="005266FA">
      <w:r w:rsidRPr="005266FA">
        <w:t xml:space="preserve">Arouri, M., </w:t>
      </w:r>
      <w:r w:rsidR="003738DF">
        <w:t xml:space="preserve">and C. </w:t>
      </w:r>
      <w:r w:rsidRPr="005266FA">
        <w:t xml:space="preserve">Rault </w:t>
      </w:r>
      <w:r w:rsidR="003738DF">
        <w:t>(</w:t>
      </w:r>
      <w:r w:rsidRPr="005266FA">
        <w:t>2010</w:t>
      </w:r>
      <w:r w:rsidR="003738DF">
        <w:t>)</w:t>
      </w:r>
      <w:r w:rsidRPr="005266FA">
        <w:t>. Oil prices and stock markets: what drives what in the Gulf Cooperation Council? CESifo Working Paper</w:t>
      </w:r>
      <w:r>
        <w:t xml:space="preserve"> </w:t>
      </w:r>
      <w:r w:rsidRPr="005266FA">
        <w:t>Number 460</w:t>
      </w:r>
      <w:r w:rsidR="00A84E9E">
        <w:t>, Munich, Germany</w:t>
      </w:r>
      <w:r w:rsidRPr="005266FA">
        <w:t>.</w:t>
      </w:r>
      <w:r w:rsidR="00D35E28">
        <w:t xml:space="preserve"> </w:t>
      </w:r>
    </w:p>
    <w:p w:rsidR="00114985" w:rsidRDefault="005266FA" w:rsidP="005266FA">
      <w:r w:rsidRPr="005266FA">
        <w:t xml:space="preserve">Arouri, M., </w:t>
      </w:r>
      <w:r w:rsidR="003738DF">
        <w:t>M. Bellalah, and</w:t>
      </w:r>
      <w:r w:rsidRPr="005266FA">
        <w:t xml:space="preserve"> </w:t>
      </w:r>
      <w:r w:rsidR="00C57ED2">
        <w:t xml:space="preserve">D. </w:t>
      </w:r>
      <w:r w:rsidRPr="005266FA">
        <w:t xml:space="preserve">Nguyen </w:t>
      </w:r>
      <w:r w:rsidR="003738DF">
        <w:t>(</w:t>
      </w:r>
      <w:r w:rsidRPr="005266FA">
        <w:t>2011</w:t>
      </w:r>
      <w:r w:rsidR="003738DF">
        <w:t>)</w:t>
      </w:r>
      <w:r w:rsidRPr="005266FA">
        <w:t>. Further evidence on the responses of stock prices in GCC countries to oil price shocks.</w:t>
      </w:r>
      <w:r>
        <w:t xml:space="preserve"> </w:t>
      </w:r>
      <w:r w:rsidRPr="00C57ED2">
        <w:rPr>
          <w:i/>
        </w:rPr>
        <w:t>International Journal of Business</w:t>
      </w:r>
      <w:r w:rsidRPr="005266FA">
        <w:t xml:space="preserve"> 16</w:t>
      </w:r>
      <w:r w:rsidR="00D35E28">
        <w:t>:</w:t>
      </w:r>
      <w:r w:rsidRPr="005266FA">
        <w:t xml:space="preserve"> 89–103.</w:t>
      </w:r>
    </w:p>
    <w:p w:rsidR="007A13C9" w:rsidRDefault="007A13C9" w:rsidP="007A13C9">
      <w:r>
        <w:t xml:space="preserve">Arouri, M.E.H., A. Lahiani, and D. K. Nguyen (2011) Return and volatility transmission between world oil prices and stock markets of the GCC countries. </w:t>
      </w:r>
      <w:r w:rsidRPr="007A13C9">
        <w:rPr>
          <w:i/>
        </w:rPr>
        <w:t>Economic Modelling</w:t>
      </w:r>
      <w:r>
        <w:t>, 28</w:t>
      </w:r>
      <w:r w:rsidR="00D35E28">
        <w:t xml:space="preserve"> (</w:t>
      </w:r>
      <w:r>
        <w:t>4</w:t>
      </w:r>
      <w:r w:rsidR="00D35E28">
        <w:t>):</w:t>
      </w:r>
      <w:r>
        <w:t xml:space="preserve"> 1815</w:t>
      </w:r>
      <w:r w:rsidR="00D35E28">
        <w:t>–</w:t>
      </w:r>
      <w:r>
        <w:t>1825.</w:t>
      </w:r>
    </w:p>
    <w:p w:rsidR="003D323F" w:rsidRPr="00D35E28" w:rsidRDefault="00C57ED2" w:rsidP="003D323F">
      <w:r>
        <w:t>Artis, M., H</w:t>
      </w:r>
      <w:r w:rsidR="003D323F" w:rsidRPr="002C1C34">
        <w:t>-M</w:t>
      </w:r>
      <w:r>
        <w:t>. Krolzig, and J.</w:t>
      </w:r>
      <w:r w:rsidR="003D323F" w:rsidRPr="002C1C34">
        <w:t xml:space="preserve"> Toro (</w:t>
      </w:r>
      <w:r w:rsidR="003D323F">
        <w:t>2004</w:t>
      </w:r>
      <w:r w:rsidR="003D323F" w:rsidRPr="002C1C34">
        <w:t>).</w:t>
      </w:r>
      <w:r w:rsidR="003D323F">
        <w:t xml:space="preserve"> </w:t>
      </w:r>
      <w:r w:rsidR="003D323F" w:rsidRPr="002C1C34">
        <w:t>“The European Business Cycle.”</w:t>
      </w:r>
      <w:r w:rsidR="003D323F">
        <w:t xml:space="preserve"> </w:t>
      </w:r>
      <w:r w:rsidR="003D323F" w:rsidRPr="00D35E28">
        <w:rPr>
          <w:i/>
        </w:rPr>
        <w:t>Oxford Economic Papers</w:t>
      </w:r>
      <w:r w:rsidR="00D35E28" w:rsidRPr="00D35E28">
        <w:t>,</w:t>
      </w:r>
      <w:r w:rsidR="003D323F" w:rsidRPr="00D35E28">
        <w:t xml:space="preserve"> </w:t>
      </w:r>
      <w:r w:rsidR="00E1141E" w:rsidRPr="00E1141E">
        <w:rPr>
          <w:rFonts w:cs="Arial"/>
          <w:color w:val="000000"/>
        </w:rPr>
        <w:t>56: 1–44</w:t>
      </w:r>
      <w:r w:rsidR="003D323F" w:rsidRPr="00D35E28">
        <w:t>.</w:t>
      </w:r>
    </w:p>
    <w:p w:rsidR="009A4EC8" w:rsidRDefault="009A4EC8" w:rsidP="003D323F">
      <w:r>
        <w:t xml:space="preserve">Balli, F., </w:t>
      </w:r>
      <w:r w:rsidR="00D35E28">
        <w:t xml:space="preserve">R. </w:t>
      </w:r>
      <w:r>
        <w:t>Jean Louis</w:t>
      </w:r>
      <w:r w:rsidR="00D35E28">
        <w:t xml:space="preserve"> and M.A.</w:t>
      </w:r>
      <w:r>
        <w:t xml:space="preserve"> Osman, (2009)</w:t>
      </w:r>
      <w:r w:rsidR="00B11A5A">
        <w:t>.</w:t>
      </w:r>
      <w:r>
        <w:t xml:space="preserve"> International </w:t>
      </w:r>
      <w:r w:rsidR="00D35E28">
        <w:t>p</w:t>
      </w:r>
      <w:r>
        <w:t xml:space="preserve">ortfolio </w:t>
      </w:r>
      <w:r w:rsidR="00D35E28">
        <w:t>i</w:t>
      </w:r>
      <w:r>
        <w:t xml:space="preserve">nflows to GCC </w:t>
      </w:r>
      <w:r w:rsidR="00D35E28">
        <w:t>m</w:t>
      </w:r>
      <w:r>
        <w:t xml:space="preserve">arkets. </w:t>
      </w:r>
      <w:r w:rsidR="00D35E28">
        <w:t>a</w:t>
      </w:r>
      <w:r>
        <w:t xml:space="preserve">re </w:t>
      </w:r>
      <w:r w:rsidR="00D35E28">
        <w:t>t</w:t>
      </w:r>
      <w:r>
        <w:t xml:space="preserve">here any </w:t>
      </w:r>
      <w:r w:rsidR="00D35E28">
        <w:t>g</w:t>
      </w:r>
      <w:r>
        <w:t xml:space="preserve">eneral </w:t>
      </w:r>
      <w:r w:rsidR="00D35E28">
        <w:t>p</w:t>
      </w:r>
      <w:r>
        <w:t xml:space="preserve">atterns? </w:t>
      </w:r>
      <w:r>
        <w:rPr>
          <w:rStyle w:val="Emphasis"/>
        </w:rPr>
        <w:t>Review of Middle East Economics and Finance</w:t>
      </w:r>
      <w:r>
        <w:t>, 5</w:t>
      </w:r>
      <w:r w:rsidR="00D35E28">
        <w:t xml:space="preserve"> </w:t>
      </w:r>
      <w:r>
        <w:t>(2)</w:t>
      </w:r>
      <w:r w:rsidR="00C91950">
        <w:t>: 1-23.</w:t>
      </w:r>
    </w:p>
    <w:p w:rsidR="000A0EDC" w:rsidRDefault="000A0EDC" w:rsidP="000A0EDC">
      <w:r>
        <w:t xml:space="preserve">Basher, S. A. (2010). </w:t>
      </w:r>
      <w:r w:rsidRPr="000A0EDC">
        <w:t xml:space="preserve">Has the </w:t>
      </w:r>
      <w:r w:rsidR="00D35E28">
        <w:t>n</w:t>
      </w:r>
      <w:r w:rsidRPr="000A0EDC">
        <w:t xml:space="preserve">on-oil </w:t>
      </w:r>
      <w:r w:rsidR="00D35E28">
        <w:t>s</w:t>
      </w:r>
      <w:r w:rsidRPr="000A0EDC">
        <w:t xml:space="preserve">ector </w:t>
      </w:r>
      <w:r w:rsidR="00D35E28">
        <w:t>d</w:t>
      </w:r>
      <w:r w:rsidRPr="000A0EDC">
        <w:t xml:space="preserve">ecoupled from </w:t>
      </w:r>
      <w:r w:rsidR="00D35E28">
        <w:t>o</w:t>
      </w:r>
      <w:r w:rsidRPr="000A0EDC">
        <w:t xml:space="preserve">il </w:t>
      </w:r>
      <w:r w:rsidR="00D35E28">
        <w:t>s</w:t>
      </w:r>
      <w:r w:rsidRPr="000A0EDC">
        <w:t>ector?</w:t>
      </w:r>
      <w:r>
        <w:t xml:space="preserve"> </w:t>
      </w:r>
      <w:r w:rsidRPr="000A0EDC">
        <w:t xml:space="preserve">A </w:t>
      </w:r>
      <w:r w:rsidR="00D35E28">
        <w:t>c</w:t>
      </w:r>
      <w:r w:rsidRPr="000A0EDC">
        <w:t xml:space="preserve">ase </w:t>
      </w:r>
      <w:r w:rsidR="00D35E28">
        <w:t>s</w:t>
      </w:r>
      <w:r w:rsidRPr="000A0EDC">
        <w:t xml:space="preserve">tudy of Gulf Cooperation Council </w:t>
      </w:r>
      <w:r w:rsidR="00D35E28">
        <w:t>c</w:t>
      </w:r>
      <w:r w:rsidRPr="000A0EDC">
        <w:t>ountries</w:t>
      </w:r>
      <w:r w:rsidR="00D35E28">
        <w:t>.</w:t>
      </w:r>
      <w:r>
        <w:t xml:space="preserve"> </w:t>
      </w:r>
      <w:hyperlink r:id="rId9" w:history="1">
        <w:r w:rsidRPr="004E14AC">
          <w:rPr>
            <w:rStyle w:val="Hyperlink"/>
          </w:rPr>
          <w:t>http://www.syedbasher.org/wp/decoupling.pdf</w:t>
        </w:r>
      </w:hyperlink>
      <w:r w:rsidR="00427A9F">
        <w:t>, accessed April 15, 2011</w:t>
      </w:r>
      <w:r>
        <w:t>.</w:t>
      </w:r>
    </w:p>
    <w:p w:rsidR="00575105" w:rsidRDefault="00575105" w:rsidP="00575105">
      <w:r w:rsidRPr="00575105">
        <w:t xml:space="preserve">Basher, S. A., </w:t>
      </w:r>
      <w:r w:rsidR="00C225AC">
        <w:t>and</w:t>
      </w:r>
      <w:r w:rsidRPr="00575105">
        <w:t xml:space="preserve"> </w:t>
      </w:r>
      <w:r w:rsidR="00D35E28" w:rsidRPr="00575105">
        <w:t xml:space="preserve">P. </w:t>
      </w:r>
      <w:r w:rsidRPr="00575105">
        <w:t xml:space="preserve">Sadorsky (2006). Oil price risk and emerging stock markets. </w:t>
      </w:r>
      <w:r w:rsidRPr="00C57ED2">
        <w:rPr>
          <w:i/>
        </w:rPr>
        <w:t>Global Finance Journal</w:t>
      </w:r>
      <w:r w:rsidRPr="00575105">
        <w:t>, 17</w:t>
      </w:r>
      <w:r w:rsidR="00D35E28">
        <w:t>:</w:t>
      </w:r>
      <w:r w:rsidRPr="00575105">
        <w:t xml:space="preserve"> 224–251.</w:t>
      </w:r>
    </w:p>
    <w:p w:rsidR="00530F94" w:rsidRDefault="00530F94" w:rsidP="00530F94">
      <w:r w:rsidRPr="00530F94">
        <w:lastRenderedPageBreak/>
        <w:t>Baxter,</w:t>
      </w:r>
      <w:r>
        <w:t xml:space="preserve"> M., and M. Kouparitsas (2005). </w:t>
      </w:r>
      <w:r w:rsidRPr="00530F94">
        <w:t xml:space="preserve">Determinants of </w:t>
      </w:r>
      <w:r w:rsidR="00D35E28">
        <w:t>b</w:t>
      </w:r>
      <w:r w:rsidRPr="00530F94">
        <w:t xml:space="preserve">usiness </w:t>
      </w:r>
      <w:r w:rsidR="00D35E28">
        <w:t>c</w:t>
      </w:r>
      <w:r w:rsidRPr="00530F94">
        <w:t xml:space="preserve">ycle </w:t>
      </w:r>
      <w:r w:rsidR="00D35E28">
        <w:t>c</w:t>
      </w:r>
      <w:r w:rsidRPr="00530F94">
        <w:t xml:space="preserve">o-movement: </w:t>
      </w:r>
      <w:r w:rsidR="00D35E28">
        <w:t>a</w:t>
      </w:r>
      <w:r w:rsidRPr="00530F94">
        <w:t xml:space="preserve"> </w:t>
      </w:r>
      <w:r w:rsidR="00D35E28">
        <w:t>r</w:t>
      </w:r>
      <w:r w:rsidRPr="00530F94">
        <w:t>obust</w:t>
      </w:r>
      <w:r>
        <w:t xml:space="preserve"> </w:t>
      </w:r>
      <w:r w:rsidR="00D35E28">
        <w:t>a</w:t>
      </w:r>
      <w:r>
        <w:t>nalysis.</w:t>
      </w:r>
      <w:r w:rsidR="00D35E28">
        <w:t xml:space="preserve"> </w:t>
      </w:r>
      <w:r w:rsidR="00E1141E" w:rsidRPr="00E1141E">
        <w:rPr>
          <w:i/>
        </w:rPr>
        <w:t>Journal of Monetary Economics</w:t>
      </w:r>
      <w:r w:rsidRPr="00530F94">
        <w:t xml:space="preserve">, </w:t>
      </w:r>
      <w:r>
        <w:t>52(1): 113</w:t>
      </w:r>
      <w:r w:rsidR="00D35E28">
        <w:t>–</w:t>
      </w:r>
      <w:r>
        <w:t>1</w:t>
      </w:r>
      <w:r w:rsidRPr="00530F94">
        <w:t>57.</w:t>
      </w:r>
    </w:p>
    <w:p w:rsidR="00530F94" w:rsidRDefault="00C57ED2" w:rsidP="00530F94">
      <w:r>
        <w:t>Baxter, M., and R. G. King</w:t>
      </w:r>
      <w:r w:rsidR="00530F94" w:rsidRPr="00530F94">
        <w:t xml:space="preserve"> </w:t>
      </w:r>
      <w:r>
        <w:t>(</w:t>
      </w:r>
      <w:r w:rsidR="00530F94" w:rsidRPr="00530F94">
        <w:t>1999</w:t>
      </w:r>
      <w:r>
        <w:t>)</w:t>
      </w:r>
      <w:r w:rsidR="00530F94" w:rsidRPr="00530F94">
        <w:t xml:space="preserve">. Measuring </w:t>
      </w:r>
      <w:r w:rsidR="00D35E28">
        <w:t>b</w:t>
      </w:r>
      <w:r w:rsidR="00530F94" w:rsidRPr="00530F94">
        <w:t xml:space="preserve">usiness </w:t>
      </w:r>
      <w:r w:rsidR="00D35E28">
        <w:t>c</w:t>
      </w:r>
      <w:r w:rsidR="00530F94" w:rsidRPr="00530F94">
        <w:t xml:space="preserve">ycles: </w:t>
      </w:r>
      <w:r w:rsidR="00D35E28">
        <w:t>a</w:t>
      </w:r>
      <w:r w:rsidR="00530F94" w:rsidRPr="00530F94">
        <w:t xml:space="preserve">pproximate </w:t>
      </w:r>
      <w:r w:rsidR="00D35E28">
        <w:t>b</w:t>
      </w:r>
      <w:r w:rsidR="00530F94" w:rsidRPr="00530F94">
        <w:t xml:space="preserve">and-pass </w:t>
      </w:r>
      <w:r w:rsidR="00D35E28">
        <w:t>f</w:t>
      </w:r>
      <w:r w:rsidR="00530F94" w:rsidRPr="00530F94">
        <w:t>ilters</w:t>
      </w:r>
      <w:r w:rsidR="00530F94">
        <w:t xml:space="preserve"> </w:t>
      </w:r>
      <w:r w:rsidR="00530F94" w:rsidRPr="00530F94">
        <w:t xml:space="preserve">for </w:t>
      </w:r>
      <w:r w:rsidR="00D35E28">
        <w:t>e</w:t>
      </w:r>
      <w:r w:rsidR="00530F94" w:rsidRPr="00530F94">
        <w:t xml:space="preserve">conomic </w:t>
      </w:r>
      <w:r w:rsidR="00D35E28">
        <w:t>t</w:t>
      </w:r>
      <w:r w:rsidR="00530F94" w:rsidRPr="00530F94">
        <w:t>ime-</w:t>
      </w:r>
      <w:r w:rsidR="00D35E28">
        <w:t>s</w:t>
      </w:r>
      <w:r w:rsidR="00530F94" w:rsidRPr="00530F94">
        <w:t>eries.</w:t>
      </w:r>
      <w:r w:rsidR="00D35E28">
        <w:t xml:space="preserve"> </w:t>
      </w:r>
      <w:r w:rsidR="00E1141E" w:rsidRPr="00E1141E">
        <w:rPr>
          <w:i/>
        </w:rPr>
        <w:t>Review of Economics and Statistics</w:t>
      </w:r>
      <w:r w:rsidR="00530F94" w:rsidRPr="00530F94">
        <w:t xml:space="preserve">, </w:t>
      </w:r>
      <w:r w:rsidR="00530F94">
        <w:t>81(4): 575</w:t>
      </w:r>
      <w:r w:rsidR="00D35E28">
        <w:t>–</w:t>
      </w:r>
      <w:r w:rsidR="00530F94" w:rsidRPr="00530F94">
        <w:t>593.</w:t>
      </w:r>
    </w:p>
    <w:p w:rsidR="00CC76A1" w:rsidRDefault="00CC76A1" w:rsidP="00CC76A1">
      <w:r w:rsidRPr="00CC76A1">
        <w:t>Beveridge, S. and C. R. Nelson</w:t>
      </w:r>
      <w:r>
        <w:t xml:space="preserve"> (1981).  </w:t>
      </w:r>
      <w:r w:rsidRPr="00CC76A1">
        <w:t xml:space="preserve">A </w:t>
      </w:r>
      <w:r w:rsidR="00D35E28">
        <w:t>n</w:t>
      </w:r>
      <w:r w:rsidRPr="00CC76A1">
        <w:t xml:space="preserve">ew </w:t>
      </w:r>
      <w:r w:rsidR="00D35E28">
        <w:t>a</w:t>
      </w:r>
      <w:r w:rsidRPr="00CC76A1">
        <w:t xml:space="preserve">pproach to </w:t>
      </w:r>
      <w:r w:rsidR="00D35E28">
        <w:t>d</w:t>
      </w:r>
      <w:r w:rsidRPr="00CC76A1">
        <w:t xml:space="preserve">ecomposition of </w:t>
      </w:r>
      <w:r w:rsidR="00D35E28">
        <w:t>e</w:t>
      </w:r>
      <w:r w:rsidRPr="00CC76A1">
        <w:t xml:space="preserve">conomic </w:t>
      </w:r>
      <w:r w:rsidR="00D35E28">
        <w:t>t</w:t>
      </w:r>
      <w:r w:rsidRPr="00CC76A1">
        <w:t>ime</w:t>
      </w:r>
      <w:r>
        <w:t xml:space="preserve"> </w:t>
      </w:r>
      <w:r w:rsidR="00D35E28">
        <w:t>s</w:t>
      </w:r>
      <w:r w:rsidRPr="00CC76A1">
        <w:t xml:space="preserve">eries into </w:t>
      </w:r>
      <w:r w:rsidR="00D35E28">
        <w:t>p</w:t>
      </w:r>
      <w:r w:rsidRPr="00CC76A1">
        <w:t xml:space="preserve">ermanent and </w:t>
      </w:r>
      <w:r w:rsidR="00D35E28">
        <w:t>t</w:t>
      </w:r>
      <w:r w:rsidRPr="00CC76A1">
        <w:t xml:space="preserve">ransitory </w:t>
      </w:r>
      <w:r w:rsidR="00D35E28">
        <w:t>c</w:t>
      </w:r>
      <w:r w:rsidRPr="00CC76A1">
        <w:t xml:space="preserve">omponents with </w:t>
      </w:r>
      <w:r w:rsidR="00D35E28">
        <w:t>p</w:t>
      </w:r>
      <w:r w:rsidRPr="00CC76A1">
        <w:t xml:space="preserve">articular </w:t>
      </w:r>
      <w:r w:rsidR="00D35E28">
        <w:t>a</w:t>
      </w:r>
      <w:r w:rsidRPr="00CC76A1">
        <w:t>ttention to</w:t>
      </w:r>
      <w:r>
        <w:t xml:space="preserve"> </w:t>
      </w:r>
      <w:r w:rsidR="00D35E28">
        <w:t>m</w:t>
      </w:r>
      <w:r w:rsidRPr="00CC76A1">
        <w:t>e</w:t>
      </w:r>
      <w:r>
        <w:t xml:space="preserve">asurement of the </w:t>
      </w:r>
      <w:r w:rsidR="00D35E28">
        <w:t>b</w:t>
      </w:r>
      <w:r>
        <w:t xml:space="preserve">usiness </w:t>
      </w:r>
      <w:r w:rsidR="00D35E28">
        <w:t>c</w:t>
      </w:r>
      <w:r>
        <w:t>ycle.</w:t>
      </w:r>
      <w:r w:rsidRPr="00CC76A1">
        <w:t xml:space="preserve"> </w:t>
      </w:r>
      <w:r w:rsidRPr="00CC76A1">
        <w:rPr>
          <w:i/>
          <w:iCs/>
        </w:rPr>
        <w:t>J</w:t>
      </w:r>
      <w:r w:rsidR="00282290">
        <w:rPr>
          <w:i/>
          <w:iCs/>
        </w:rPr>
        <w:t>ournal</w:t>
      </w:r>
      <w:r w:rsidRPr="00CC76A1">
        <w:rPr>
          <w:i/>
          <w:iCs/>
        </w:rPr>
        <w:t xml:space="preserve"> of Monetary Economics </w:t>
      </w:r>
      <w:r w:rsidRPr="00CC76A1">
        <w:t>7 (1981)</w:t>
      </w:r>
      <w:r w:rsidR="00282290">
        <w:t>P:</w:t>
      </w:r>
      <w:r w:rsidRPr="00CC76A1">
        <w:t xml:space="preserve"> 151</w:t>
      </w:r>
      <w:r w:rsidR="00282290">
        <w:t>–</w:t>
      </w:r>
      <w:r w:rsidRPr="00CC76A1">
        <w:t>174.</w:t>
      </w:r>
    </w:p>
    <w:p w:rsidR="00530F94" w:rsidRDefault="00530F94" w:rsidP="00530F94">
      <w:r>
        <w:t xml:space="preserve">Bhar, R. and </w:t>
      </w:r>
      <w:r w:rsidR="00BF6001">
        <w:t xml:space="preserve">S. </w:t>
      </w:r>
      <w:r>
        <w:t xml:space="preserve">Hamori (2004). </w:t>
      </w:r>
      <w:r w:rsidRPr="00D06E18">
        <w:t>Empirical characteristics of the permanent and transitory</w:t>
      </w:r>
      <w:r>
        <w:t xml:space="preserve"> </w:t>
      </w:r>
      <w:r w:rsidRPr="00D06E18">
        <w:t>components of stock return: analysis in a Markov switching</w:t>
      </w:r>
      <w:r>
        <w:t xml:space="preserve"> </w:t>
      </w:r>
      <w:r w:rsidRPr="00D06E18">
        <w:t>heteroscedasticity framework</w:t>
      </w:r>
      <w:r>
        <w:t xml:space="preserve">. </w:t>
      </w:r>
      <w:r w:rsidRPr="00BF6001">
        <w:rPr>
          <w:i/>
        </w:rPr>
        <w:t>Economics Letters</w:t>
      </w:r>
      <w:r w:rsidR="00282290">
        <w:rPr>
          <w:i/>
        </w:rPr>
        <w:t>,</w:t>
      </w:r>
      <w:r w:rsidRPr="00D06E18">
        <w:t xml:space="preserve"> 82 (2004)</w:t>
      </w:r>
      <w:r w:rsidR="00282290">
        <w:t>:</w:t>
      </w:r>
      <w:r w:rsidRPr="00D06E18">
        <w:t xml:space="preserve"> 157–165</w:t>
      </w:r>
      <w:r>
        <w:t>.</w:t>
      </w:r>
    </w:p>
    <w:p w:rsidR="00575105" w:rsidRDefault="005808E0" w:rsidP="00575105">
      <w:r>
        <w:t xml:space="preserve">Bley, J., </w:t>
      </w:r>
      <w:r w:rsidR="00C225AC">
        <w:t>and</w:t>
      </w:r>
      <w:r>
        <w:t xml:space="preserve"> </w:t>
      </w:r>
      <w:r w:rsidR="00575105" w:rsidRPr="00575105">
        <w:t>K. H.</w:t>
      </w:r>
      <w:r>
        <w:t xml:space="preserve"> Chen</w:t>
      </w:r>
      <w:r w:rsidR="00575105" w:rsidRPr="00575105">
        <w:t xml:space="preserve"> (2006). Gulf Cooperation Council (GCC) stock markets: </w:t>
      </w:r>
      <w:r w:rsidR="00282290">
        <w:t>t</w:t>
      </w:r>
      <w:r w:rsidR="00575105" w:rsidRPr="00575105">
        <w:t xml:space="preserve">he dawn of a new era. </w:t>
      </w:r>
      <w:r w:rsidR="00575105" w:rsidRPr="008A1BE1">
        <w:rPr>
          <w:i/>
        </w:rPr>
        <w:t>Global Finance Journal</w:t>
      </w:r>
      <w:r w:rsidR="00575105" w:rsidRPr="00575105">
        <w:t>, 17</w:t>
      </w:r>
      <w:r w:rsidR="00282290">
        <w:t>:</w:t>
      </w:r>
      <w:r w:rsidR="00575105" w:rsidRPr="00575105">
        <w:t xml:space="preserve"> 75–91.</w:t>
      </w:r>
      <w:r w:rsidR="00575105">
        <w:t xml:space="preserve"> </w:t>
      </w:r>
    </w:p>
    <w:p w:rsidR="00F16836" w:rsidRPr="00575105" w:rsidRDefault="00696894" w:rsidP="00696894">
      <w:r>
        <w:t xml:space="preserve">Bley, J. (2011). Are GCC stock markets predictable? </w:t>
      </w:r>
      <w:r w:rsidRPr="00D16824">
        <w:rPr>
          <w:i/>
        </w:rPr>
        <w:t>Emerging Markets Review</w:t>
      </w:r>
      <w:r>
        <w:t>, 12</w:t>
      </w:r>
      <w:r w:rsidR="00282290">
        <w:t xml:space="preserve"> (</w:t>
      </w:r>
      <w:r>
        <w:t>3</w:t>
      </w:r>
      <w:r w:rsidR="00282290">
        <w:t>):</w:t>
      </w:r>
      <w:r>
        <w:t xml:space="preserve"> 217</w:t>
      </w:r>
      <w:r w:rsidR="00282290">
        <w:t>–</w:t>
      </w:r>
      <w:r>
        <w:t>237</w:t>
      </w:r>
      <w:r w:rsidR="00282290">
        <w:t>.</w:t>
      </w:r>
    </w:p>
    <w:p w:rsidR="0034422B" w:rsidRPr="00575105" w:rsidRDefault="0034422B" w:rsidP="00575105">
      <w:r w:rsidRPr="0034422B">
        <w:t>Calvo,</w:t>
      </w:r>
      <w:r w:rsidR="001B5AD4">
        <w:t xml:space="preserve">G., </w:t>
      </w:r>
      <w:r w:rsidRPr="0034422B">
        <w:t>L. Leiderman and C. Reinhart</w:t>
      </w:r>
      <w:r>
        <w:t xml:space="preserve"> (1993).</w:t>
      </w:r>
      <w:r w:rsidRPr="0034422B">
        <w:t xml:space="preserve"> </w:t>
      </w:r>
      <w:r w:rsidRPr="0034422B">
        <w:rPr>
          <w:i/>
          <w:iCs/>
        </w:rPr>
        <w:t xml:space="preserve">Capital </w:t>
      </w:r>
      <w:r w:rsidR="00282290">
        <w:rPr>
          <w:i/>
          <w:iCs/>
        </w:rPr>
        <w:t>f</w:t>
      </w:r>
      <w:r w:rsidRPr="0034422B">
        <w:rPr>
          <w:i/>
          <w:iCs/>
        </w:rPr>
        <w:t xml:space="preserve">lows and the </w:t>
      </w:r>
      <w:r w:rsidR="00282290">
        <w:rPr>
          <w:i/>
          <w:iCs/>
        </w:rPr>
        <w:t>r</w:t>
      </w:r>
      <w:r w:rsidRPr="0034422B">
        <w:rPr>
          <w:i/>
          <w:iCs/>
        </w:rPr>
        <w:t xml:space="preserve">eal </w:t>
      </w:r>
      <w:r w:rsidR="00282290">
        <w:rPr>
          <w:i/>
          <w:iCs/>
        </w:rPr>
        <w:t>e</w:t>
      </w:r>
      <w:r w:rsidRPr="0034422B">
        <w:rPr>
          <w:i/>
          <w:iCs/>
        </w:rPr>
        <w:t xml:space="preserve">xchange </w:t>
      </w:r>
      <w:r w:rsidR="00282290">
        <w:rPr>
          <w:i/>
          <w:iCs/>
        </w:rPr>
        <w:t>r</w:t>
      </w:r>
      <w:r w:rsidRPr="0034422B">
        <w:rPr>
          <w:i/>
          <w:iCs/>
        </w:rPr>
        <w:t xml:space="preserve">ate </w:t>
      </w:r>
      <w:r w:rsidR="00282290">
        <w:rPr>
          <w:i/>
          <w:iCs/>
        </w:rPr>
        <w:t>a</w:t>
      </w:r>
      <w:r w:rsidRPr="0034422B">
        <w:rPr>
          <w:i/>
          <w:iCs/>
        </w:rPr>
        <w:t xml:space="preserve">ppreciation in Latin America: the </w:t>
      </w:r>
      <w:r w:rsidR="00282290">
        <w:rPr>
          <w:i/>
          <w:iCs/>
        </w:rPr>
        <w:t>r</w:t>
      </w:r>
      <w:r w:rsidRPr="0034422B">
        <w:rPr>
          <w:i/>
          <w:iCs/>
        </w:rPr>
        <w:t xml:space="preserve">ole of </w:t>
      </w:r>
      <w:r w:rsidR="00282290">
        <w:rPr>
          <w:i/>
          <w:iCs/>
        </w:rPr>
        <w:t>e</w:t>
      </w:r>
      <w:r w:rsidRPr="0034422B">
        <w:rPr>
          <w:i/>
          <w:iCs/>
        </w:rPr>
        <w:t xml:space="preserve">xternal </w:t>
      </w:r>
      <w:r w:rsidR="00282290">
        <w:rPr>
          <w:i/>
          <w:iCs/>
        </w:rPr>
        <w:t>f</w:t>
      </w:r>
      <w:r w:rsidRPr="0034422B">
        <w:rPr>
          <w:i/>
          <w:iCs/>
        </w:rPr>
        <w:t>actors</w:t>
      </w:r>
      <w:r w:rsidR="00282290">
        <w:rPr>
          <w:i/>
          <w:iCs/>
        </w:rPr>
        <w:t>.</w:t>
      </w:r>
      <w:r w:rsidRPr="0034422B">
        <w:t xml:space="preserve"> </w:t>
      </w:r>
      <w:r w:rsidR="00E1141E" w:rsidRPr="00E1141E">
        <w:t>IMF Staff Papers</w:t>
      </w:r>
      <w:r w:rsidRPr="0034422B">
        <w:t xml:space="preserve"> 40, March. </w:t>
      </w:r>
      <w:r w:rsidR="00C3562F">
        <w:t>(Washington: International Monetary Fund)</w:t>
      </w:r>
    </w:p>
    <w:p w:rsidR="00575105" w:rsidRPr="00575105" w:rsidRDefault="00575105" w:rsidP="00575105">
      <w:r w:rsidRPr="00575105">
        <w:t xml:space="preserve">Chen, N. F., </w:t>
      </w:r>
      <w:r w:rsidR="00282290" w:rsidRPr="00575105">
        <w:t xml:space="preserve">R. </w:t>
      </w:r>
      <w:r w:rsidRPr="00575105">
        <w:t xml:space="preserve">Roll </w:t>
      </w:r>
      <w:r w:rsidR="00C225AC">
        <w:t>and</w:t>
      </w:r>
      <w:r w:rsidRPr="00575105">
        <w:t xml:space="preserve"> </w:t>
      </w:r>
      <w:r w:rsidR="00282290" w:rsidRPr="00575105">
        <w:t xml:space="preserve">S. A. </w:t>
      </w:r>
      <w:r w:rsidRPr="00575105">
        <w:t xml:space="preserve">Ross (1986). Economic forces and the stock market. </w:t>
      </w:r>
      <w:r w:rsidRPr="00D16824">
        <w:rPr>
          <w:i/>
        </w:rPr>
        <w:t>Journal of Business</w:t>
      </w:r>
      <w:r w:rsidRPr="00575105">
        <w:t>, 59</w:t>
      </w:r>
      <w:r w:rsidR="00282290">
        <w:t>:</w:t>
      </w:r>
      <w:r w:rsidRPr="00575105">
        <w:t xml:space="preserve"> 383–403.</w:t>
      </w:r>
    </w:p>
    <w:p w:rsidR="00784528" w:rsidRDefault="00784528" w:rsidP="00575105">
      <w:r>
        <w:t>Cumby, R., S. Figlewski and J. Hasbrouck (1993)</w:t>
      </w:r>
      <w:r w:rsidR="003767AC">
        <w:t>.</w:t>
      </w:r>
      <w:r>
        <w:t xml:space="preserve"> Forecasting </w:t>
      </w:r>
      <w:r w:rsidR="00282290">
        <w:t>v</w:t>
      </w:r>
      <w:r>
        <w:t xml:space="preserve">olatility and </w:t>
      </w:r>
      <w:r w:rsidR="00282290">
        <w:t>c</w:t>
      </w:r>
      <w:r>
        <w:t>orrelations with EGARCH models</w:t>
      </w:r>
      <w:r w:rsidR="00282290">
        <w:t>.</w:t>
      </w:r>
      <w:r>
        <w:t xml:space="preserve"> </w:t>
      </w:r>
      <w:r w:rsidRPr="00D16824">
        <w:rPr>
          <w:i/>
        </w:rPr>
        <w:t>Journal of Derivatives</w:t>
      </w:r>
      <w:r>
        <w:t>, Winter</w:t>
      </w:r>
      <w:r w:rsidR="00282290">
        <w:t>:</w:t>
      </w:r>
      <w:r>
        <w:t xml:space="preserve"> 51</w:t>
      </w:r>
      <w:r w:rsidR="00282290">
        <w:t>–</w:t>
      </w:r>
      <w:r>
        <w:t>63.</w:t>
      </w:r>
    </w:p>
    <w:p w:rsidR="003767AC" w:rsidRDefault="003767AC" w:rsidP="003767AC">
      <w:r w:rsidRPr="003767AC">
        <w:t>Cunado,</w:t>
      </w:r>
      <w:r>
        <w:t xml:space="preserve"> J., </w:t>
      </w:r>
      <w:r w:rsidR="00282290">
        <w:t xml:space="preserve">F. </w:t>
      </w:r>
      <w:r>
        <w:t>Perez de Garcia (2005).</w:t>
      </w:r>
      <w:r w:rsidRPr="003767AC">
        <w:t xml:space="preserve"> Oil prices, economic activity and inflation:</w:t>
      </w:r>
      <w:r>
        <w:t xml:space="preserve"> </w:t>
      </w:r>
      <w:r w:rsidRPr="003767AC">
        <w:t xml:space="preserve">evidence for some Asian countries. </w:t>
      </w:r>
      <w:r w:rsidRPr="003767AC">
        <w:rPr>
          <w:i/>
          <w:iCs/>
        </w:rPr>
        <w:t xml:space="preserve">The Quarterly Review of Economics and Finance </w:t>
      </w:r>
      <w:r w:rsidRPr="003767AC">
        <w:t>45(1)</w:t>
      </w:r>
      <w:r w:rsidR="00282290">
        <w:t>:</w:t>
      </w:r>
      <w:r w:rsidRPr="003767AC">
        <w:t xml:space="preserve"> 65</w:t>
      </w:r>
      <w:r w:rsidR="00282290">
        <w:t>–</w:t>
      </w:r>
      <w:r w:rsidRPr="003767AC">
        <w:t>83.</w:t>
      </w:r>
    </w:p>
    <w:p w:rsidR="002A33A9" w:rsidRDefault="002A33A9" w:rsidP="003767AC">
      <w:pPr>
        <w:rPr>
          <w:rFonts w:cs="Times New Roman"/>
          <w:bCs/>
        </w:rPr>
      </w:pPr>
      <w:r w:rsidRPr="002A33A9">
        <w:rPr>
          <w:rFonts w:cs="Times New Roman"/>
        </w:rPr>
        <w:t xml:space="preserve">Darrat, A. F., K. Elkhal, and S. R. Hakim (2000). </w:t>
      </w:r>
      <w:r w:rsidRPr="002A33A9">
        <w:rPr>
          <w:rFonts w:cs="Times New Roman"/>
          <w:bCs/>
        </w:rPr>
        <w:t xml:space="preserve">On the </w:t>
      </w:r>
      <w:r w:rsidR="00282290">
        <w:rPr>
          <w:rFonts w:cs="Times New Roman"/>
          <w:bCs/>
        </w:rPr>
        <w:t>i</w:t>
      </w:r>
      <w:r w:rsidRPr="002A33A9">
        <w:rPr>
          <w:rFonts w:cs="Times New Roman"/>
          <w:bCs/>
        </w:rPr>
        <w:t xml:space="preserve">ntegration of </w:t>
      </w:r>
      <w:r w:rsidR="00282290">
        <w:rPr>
          <w:rFonts w:cs="Times New Roman"/>
          <w:bCs/>
        </w:rPr>
        <w:t>e</w:t>
      </w:r>
      <w:r w:rsidRPr="002A33A9">
        <w:rPr>
          <w:rFonts w:cs="Times New Roman"/>
          <w:bCs/>
        </w:rPr>
        <w:t xml:space="preserve">merging </w:t>
      </w:r>
      <w:r w:rsidR="00282290">
        <w:rPr>
          <w:rFonts w:cs="Times New Roman"/>
          <w:bCs/>
        </w:rPr>
        <w:t>s</w:t>
      </w:r>
      <w:r w:rsidRPr="002A33A9">
        <w:rPr>
          <w:rFonts w:cs="Times New Roman"/>
          <w:bCs/>
        </w:rPr>
        <w:t xml:space="preserve">tock </w:t>
      </w:r>
      <w:r w:rsidR="00282290">
        <w:rPr>
          <w:rFonts w:cs="Times New Roman"/>
          <w:bCs/>
        </w:rPr>
        <w:t>m</w:t>
      </w:r>
      <w:r w:rsidRPr="002A33A9">
        <w:rPr>
          <w:rFonts w:cs="Times New Roman"/>
          <w:bCs/>
        </w:rPr>
        <w:t>arkets in the Middle East</w:t>
      </w:r>
      <w:r>
        <w:rPr>
          <w:rFonts w:cs="Times New Roman"/>
          <w:bCs/>
        </w:rPr>
        <w:t xml:space="preserve">. </w:t>
      </w:r>
      <w:r w:rsidRPr="00D16824">
        <w:rPr>
          <w:rFonts w:cs="Times New Roman"/>
          <w:bCs/>
          <w:i/>
        </w:rPr>
        <w:t>Journal of Economic Development</w:t>
      </w:r>
      <w:r w:rsidR="00282290">
        <w:rPr>
          <w:rFonts w:cs="Times New Roman"/>
          <w:bCs/>
          <w:i/>
        </w:rPr>
        <w:t>,</w:t>
      </w:r>
      <w:r>
        <w:rPr>
          <w:rFonts w:cs="Times New Roman"/>
          <w:bCs/>
        </w:rPr>
        <w:t xml:space="preserve"> </w:t>
      </w:r>
      <w:r w:rsidRPr="002A33A9">
        <w:rPr>
          <w:rFonts w:cs="Times New Roman"/>
          <w:bCs/>
        </w:rPr>
        <w:t>25</w:t>
      </w:r>
      <w:r w:rsidR="00282290">
        <w:rPr>
          <w:rFonts w:cs="Times New Roman"/>
          <w:bCs/>
        </w:rPr>
        <w:t xml:space="preserve"> (</w:t>
      </w:r>
      <w:r w:rsidRPr="002A33A9">
        <w:rPr>
          <w:rFonts w:cs="Times New Roman"/>
          <w:bCs/>
        </w:rPr>
        <w:t>2</w:t>
      </w:r>
      <w:r w:rsidR="00282290">
        <w:rPr>
          <w:rFonts w:cs="Times New Roman"/>
          <w:bCs/>
        </w:rPr>
        <w:t>)</w:t>
      </w:r>
      <w:r w:rsidR="00F15984">
        <w:rPr>
          <w:rFonts w:cs="Times New Roman"/>
          <w:bCs/>
        </w:rPr>
        <w:t>: 119 - 129</w:t>
      </w:r>
      <w:r w:rsidRPr="002A33A9">
        <w:rPr>
          <w:rFonts w:cs="Times New Roman"/>
          <w:bCs/>
        </w:rPr>
        <w:t>, December</w:t>
      </w:r>
      <w:r w:rsidR="00282290">
        <w:rPr>
          <w:rFonts w:cs="Times New Roman"/>
          <w:bCs/>
        </w:rPr>
        <w:t xml:space="preserve"> .</w:t>
      </w:r>
    </w:p>
    <w:p w:rsidR="008B641F" w:rsidRPr="002A33A9" w:rsidRDefault="00C62A66" w:rsidP="008B641F">
      <w:r>
        <w:t>Dornbusch, Rudiger, Y. C. Park and S.</w:t>
      </w:r>
      <w:r w:rsidR="008B641F" w:rsidRPr="008B641F">
        <w:t xml:space="preserve"> Claessens (2000)</w:t>
      </w:r>
      <w:r w:rsidR="008B641F">
        <w:t>.</w:t>
      </w:r>
      <w:r w:rsidR="008B641F" w:rsidRPr="008B641F">
        <w:t xml:space="preserve"> </w:t>
      </w:r>
      <w:r w:rsidR="00E1141E" w:rsidRPr="00E1141E">
        <w:rPr>
          <w:iCs/>
        </w:rPr>
        <w:t xml:space="preserve">Contagion: How it </w:t>
      </w:r>
      <w:r w:rsidR="00282290">
        <w:rPr>
          <w:iCs/>
        </w:rPr>
        <w:t>s</w:t>
      </w:r>
      <w:r w:rsidR="00E1141E" w:rsidRPr="00E1141E">
        <w:rPr>
          <w:iCs/>
        </w:rPr>
        <w:t xml:space="preserve">preads and </w:t>
      </w:r>
      <w:r w:rsidR="00282290">
        <w:rPr>
          <w:iCs/>
        </w:rPr>
        <w:t>h</w:t>
      </w:r>
      <w:r w:rsidR="00E1141E" w:rsidRPr="00E1141E">
        <w:rPr>
          <w:iCs/>
        </w:rPr>
        <w:t xml:space="preserve">ow it can be </w:t>
      </w:r>
      <w:r w:rsidR="00282290">
        <w:rPr>
          <w:iCs/>
        </w:rPr>
        <w:t>s</w:t>
      </w:r>
      <w:r w:rsidR="00E1141E" w:rsidRPr="00E1141E">
        <w:rPr>
          <w:iCs/>
        </w:rPr>
        <w:t>topped</w:t>
      </w:r>
      <w:r w:rsidR="00282290">
        <w:t>.</w:t>
      </w:r>
      <w:r w:rsidR="008B641F" w:rsidRPr="008B641F">
        <w:t xml:space="preserve"> </w:t>
      </w:r>
      <w:r w:rsidR="008B641F" w:rsidRPr="00D16824">
        <w:rPr>
          <w:i/>
        </w:rPr>
        <w:t>World Bank Research Observer</w:t>
      </w:r>
      <w:r w:rsidR="008B641F" w:rsidRPr="008B641F">
        <w:t xml:space="preserve">, 15 </w:t>
      </w:r>
      <w:r w:rsidR="00282290">
        <w:t>(</w:t>
      </w:r>
      <w:r w:rsidR="008B641F" w:rsidRPr="008B641F">
        <w:t>2)</w:t>
      </w:r>
      <w:r w:rsidR="00282290">
        <w:t>:</w:t>
      </w:r>
      <w:r w:rsidR="008B641F" w:rsidRPr="008B641F">
        <w:t xml:space="preserve"> 177</w:t>
      </w:r>
      <w:r w:rsidR="00282290">
        <w:t>–</w:t>
      </w:r>
      <w:r w:rsidR="008B641F" w:rsidRPr="008B641F">
        <w:t>197</w:t>
      </w:r>
      <w:r w:rsidR="008B641F">
        <w:t>.</w:t>
      </w:r>
    </w:p>
    <w:p w:rsidR="00575105" w:rsidRDefault="00575105" w:rsidP="00575105">
      <w:r w:rsidRPr="00575105">
        <w:t xml:space="preserve">Driesprong, G., </w:t>
      </w:r>
      <w:r w:rsidR="00282290" w:rsidRPr="00575105">
        <w:t xml:space="preserve">B. </w:t>
      </w:r>
      <w:r w:rsidRPr="00575105">
        <w:t xml:space="preserve">Jacobsen </w:t>
      </w:r>
      <w:r w:rsidR="00C225AC">
        <w:t>and</w:t>
      </w:r>
      <w:r w:rsidRPr="00575105">
        <w:t xml:space="preserve"> </w:t>
      </w:r>
      <w:r w:rsidR="00282290">
        <w:t xml:space="preserve">B. </w:t>
      </w:r>
      <w:r w:rsidRPr="00575105">
        <w:t xml:space="preserve">Maat (2008). Striking oil: Another puzzle? </w:t>
      </w:r>
      <w:r w:rsidRPr="00D16824">
        <w:rPr>
          <w:i/>
        </w:rPr>
        <w:t>Journal of Financial Economics</w:t>
      </w:r>
      <w:r w:rsidRPr="00575105">
        <w:t>, 89</w:t>
      </w:r>
      <w:r w:rsidR="00282290">
        <w:t>:</w:t>
      </w:r>
      <w:r w:rsidRPr="00575105">
        <w:t xml:space="preserve"> 307–327.</w:t>
      </w:r>
    </w:p>
    <w:p w:rsidR="008F4C94" w:rsidRPr="008F4C94" w:rsidRDefault="008F4C94" w:rsidP="008F4C94">
      <w:r>
        <w:t>Dungey, M., R. Fry, B.</w:t>
      </w:r>
      <w:r w:rsidRPr="008F4C94">
        <w:t xml:space="preserve"> Gonzá</w:t>
      </w:r>
      <w:r>
        <w:t>lez-Hermosillo and V.</w:t>
      </w:r>
      <w:r w:rsidRPr="008F4C94">
        <w:t xml:space="preserve"> Martin</w:t>
      </w:r>
      <w:r>
        <w:t xml:space="preserve"> </w:t>
      </w:r>
      <w:r w:rsidRPr="008F4C94">
        <w:t>(2005)</w:t>
      </w:r>
      <w:r>
        <w:t xml:space="preserve">. </w:t>
      </w:r>
      <w:r w:rsidRPr="008F4C94">
        <w:t xml:space="preserve">Empirical </w:t>
      </w:r>
      <w:r w:rsidR="00282290">
        <w:t>m</w:t>
      </w:r>
      <w:r w:rsidRPr="008F4C94">
        <w:t xml:space="preserve">odeling of </w:t>
      </w:r>
      <w:r w:rsidR="00282290">
        <w:t>c</w:t>
      </w:r>
      <w:r w:rsidRPr="008F4C94">
        <w:t>onta</w:t>
      </w:r>
      <w:r>
        <w:t xml:space="preserve">gion: </w:t>
      </w:r>
      <w:r w:rsidR="00282290">
        <w:t>a</w:t>
      </w:r>
      <w:r>
        <w:t xml:space="preserve"> </w:t>
      </w:r>
      <w:r w:rsidR="00282290">
        <w:t>r</w:t>
      </w:r>
      <w:r>
        <w:t xml:space="preserve">eview of </w:t>
      </w:r>
      <w:r w:rsidR="00282290">
        <w:t>m</w:t>
      </w:r>
      <w:r>
        <w:t>ethodologies</w:t>
      </w:r>
      <w:r w:rsidR="00282290">
        <w:t>.</w:t>
      </w:r>
      <w:r>
        <w:t xml:space="preserve"> </w:t>
      </w:r>
      <w:r w:rsidRPr="008F4C94">
        <w:rPr>
          <w:i/>
          <w:iCs/>
        </w:rPr>
        <w:t>Quantitative Finance</w:t>
      </w:r>
      <w:r w:rsidRPr="008F4C94">
        <w:t>, 5(1): 9–24.</w:t>
      </w:r>
    </w:p>
    <w:p w:rsidR="008F4C94" w:rsidRDefault="008F4C94" w:rsidP="008F4C94">
      <w:r>
        <w:t xml:space="preserve">——— (2006). </w:t>
      </w:r>
      <w:r w:rsidRPr="008F4C94">
        <w:t xml:space="preserve">Contagion in </w:t>
      </w:r>
      <w:r w:rsidR="00282290">
        <w:t>i</w:t>
      </w:r>
      <w:r w:rsidRPr="008F4C94">
        <w:t xml:space="preserve">nternational </w:t>
      </w:r>
      <w:r w:rsidR="00282290">
        <w:t>b</w:t>
      </w:r>
      <w:r w:rsidRPr="008F4C94">
        <w:t xml:space="preserve">ond </w:t>
      </w:r>
      <w:r w:rsidR="00282290">
        <w:t>m</w:t>
      </w:r>
      <w:r w:rsidRPr="008F4C94">
        <w:t>arkets during the Russian</w:t>
      </w:r>
      <w:r>
        <w:t xml:space="preserve"> and LTCM </w:t>
      </w:r>
      <w:r w:rsidR="00282290">
        <w:t>c</w:t>
      </w:r>
      <w:r>
        <w:t>rises.</w:t>
      </w:r>
      <w:r w:rsidRPr="008F4C94">
        <w:t xml:space="preserve"> </w:t>
      </w:r>
      <w:r w:rsidRPr="008F4C94">
        <w:rPr>
          <w:i/>
          <w:iCs/>
        </w:rPr>
        <w:t>Journal of Financial Stability</w:t>
      </w:r>
      <w:r w:rsidRPr="008F4C94">
        <w:t>, 2(1): 1–27.</w:t>
      </w:r>
    </w:p>
    <w:p w:rsidR="00F16836" w:rsidRDefault="00F16836" w:rsidP="00F16836">
      <w:r>
        <w:lastRenderedPageBreak/>
        <w:t xml:space="preserve">Elango, R. and M. I. Hussein (2008). An </w:t>
      </w:r>
      <w:r w:rsidR="00282290">
        <w:t>e</w:t>
      </w:r>
      <w:r>
        <w:t xml:space="preserve">mpirical </w:t>
      </w:r>
      <w:r w:rsidR="00282290">
        <w:t>a</w:t>
      </w:r>
      <w:r>
        <w:t xml:space="preserve">nalysis on the </w:t>
      </w:r>
      <w:r w:rsidR="00282290">
        <w:t>w</w:t>
      </w:r>
      <w:r>
        <w:t>eak-</w:t>
      </w:r>
      <w:r w:rsidR="00282290">
        <w:t>f</w:t>
      </w:r>
      <w:r>
        <w:t xml:space="preserve">orm </w:t>
      </w:r>
      <w:r w:rsidR="00282290">
        <w:t>e</w:t>
      </w:r>
      <w:r>
        <w:t xml:space="preserve">fficiency of the GCC </w:t>
      </w:r>
      <w:r w:rsidR="00282290">
        <w:t>m</w:t>
      </w:r>
      <w:r>
        <w:t xml:space="preserve">arkets </w:t>
      </w:r>
      <w:r w:rsidR="00282290">
        <w:t>a</w:t>
      </w:r>
      <w:r>
        <w:t xml:space="preserve">pplying </w:t>
      </w:r>
      <w:r w:rsidR="00282290">
        <w:t>s</w:t>
      </w:r>
      <w:r>
        <w:t xml:space="preserve">elected </w:t>
      </w:r>
      <w:r w:rsidR="00282290">
        <w:t>s</w:t>
      </w:r>
      <w:r>
        <w:t xml:space="preserve">tatistical </w:t>
      </w:r>
      <w:r w:rsidR="00282290">
        <w:t>t</w:t>
      </w:r>
      <w:r>
        <w:t xml:space="preserve">ests. </w:t>
      </w:r>
      <w:r w:rsidRPr="00D16824">
        <w:rPr>
          <w:i/>
        </w:rPr>
        <w:t>International Review of Business Research Papers</w:t>
      </w:r>
      <w:r w:rsidR="00282290">
        <w:rPr>
          <w:i/>
        </w:rPr>
        <w:t>,</w:t>
      </w:r>
      <w:r>
        <w:t xml:space="preserve"> 4 </w:t>
      </w:r>
      <w:r w:rsidR="00282290">
        <w:t>(</w:t>
      </w:r>
      <w:r>
        <w:t>1</w:t>
      </w:r>
      <w:r w:rsidR="00282290">
        <w:t>):</w:t>
      </w:r>
      <w:r>
        <w:t xml:space="preserve"> 140</w:t>
      </w:r>
      <w:r w:rsidR="00282290">
        <w:t>–</w:t>
      </w:r>
      <w:r>
        <w:t>159.</w:t>
      </w:r>
    </w:p>
    <w:p w:rsidR="00575105" w:rsidRPr="00575105" w:rsidRDefault="00575105" w:rsidP="00575105">
      <w:r w:rsidRPr="00575105">
        <w:t xml:space="preserve">El Sharif, I., </w:t>
      </w:r>
      <w:r w:rsidR="00282290">
        <w:t xml:space="preserve">D. </w:t>
      </w:r>
      <w:r w:rsidRPr="00575105">
        <w:t xml:space="preserve">Brown, </w:t>
      </w:r>
      <w:r w:rsidR="00282290">
        <w:t>B.</w:t>
      </w:r>
      <w:r w:rsidRPr="00575105">
        <w:t xml:space="preserve"> Burton, B. Nixon </w:t>
      </w:r>
      <w:r w:rsidR="00C225AC">
        <w:t>and</w:t>
      </w:r>
      <w:r w:rsidRPr="00575105">
        <w:t xml:space="preserve"> </w:t>
      </w:r>
      <w:r w:rsidR="00282290">
        <w:t xml:space="preserve">A. </w:t>
      </w:r>
      <w:r w:rsidRPr="00575105">
        <w:t>Russell (2005). Evidence on the nature and extent of the relationship between oil</w:t>
      </w:r>
      <w:r>
        <w:t xml:space="preserve"> </w:t>
      </w:r>
      <w:r w:rsidRPr="00575105">
        <w:t xml:space="preserve">prices and </w:t>
      </w:r>
      <w:r w:rsidR="00674202">
        <w:t>stock</w:t>
      </w:r>
      <w:r w:rsidRPr="00575105">
        <w:t xml:space="preserve"> values in the UK. </w:t>
      </w:r>
      <w:r w:rsidRPr="00D16824">
        <w:rPr>
          <w:i/>
        </w:rPr>
        <w:t>Energy Economics</w:t>
      </w:r>
      <w:r w:rsidRPr="00575105">
        <w:t>, 27</w:t>
      </w:r>
      <w:r w:rsidR="00282290">
        <w:t>:</w:t>
      </w:r>
      <w:r w:rsidRPr="00575105">
        <w:t xml:space="preserve"> 819–830.</w:t>
      </w:r>
    </w:p>
    <w:p w:rsidR="0007206E" w:rsidRDefault="0007206E" w:rsidP="0007206E">
      <w:r>
        <w:t>El-</w:t>
      </w:r>
      <w:r w:rsidRPr="008B2055">
        <w:t>Wassal, K. (2005). Stock market growth: an analysis of co-integration and causality.</w:t>
      </w:r>
      <w:r>
        <w:t xml:space="preserve"> </w:t>
      </w:r>
      <w:r w:rsidRPr="008B2055">
        <w:rPr>
          <w:i/>
          <w:iCs/>
        </w:rPr>
        <w:t>Economic Issue</w:t>
      </w:r>
      <w:r w:rsidRPr="008B2055">
        <w:t>s, 10</w:t>
      </w:r>
      <w:r>
        <w:t>:</w:t>
      </w:r>
      <w:r w:rsidRPr="008B2055">
        <w:t xml:space="preserve"> 37–58.</w:t>
      </w:r>
    </w:p>
    <w:p w:rsidR="00455144" w:rsidRDefault="00455144" w:rsidP="00575105">
      <w:r>
        <w:t>Engle, R. F. , and C.</w:t>
      </w:r>
      <w:r w:rsidR="00282290">
        <w:t xml:space="preserve"> </w:t>
      </w:r>
      <w:r>
        <w:t>W.</w:t>
      </w:r>
      <w:r w:rsidR="00282290">
        <w:t xml:space="preserve"> </w:t>
      </w:r>
      <w:r>
        <w:t xml:space="preserve">J. Granger (1987). Co-integration and </w:t>
      </w:r>
      <w:r w:rsidR="00282290">
        <w:t>e</w:t>
      </w:r>
      <w:r>
        <w:t xml:space="preserve">rror </w:t>
      </w:r>
      <w:r w:rsidR="00282290">
        <w:t>c</w:t>
      </w:r>
      <w:r>
        <w:t xml:space="preserve">orrection: </w:t>
      </w:r>
      <w:r w:rsidR="00282290">
        <w:t>r</w:t>
      </w:r>
      <w:r>
        <w:t xml:space="preserve">epresentation, </w:t>
      </w:r>
      <w:r w:rsidR="00282290">
        <w:t>e</w:t>
      </w:r>
      <w:r>
        <w:t xml:space="preserve">stimation and </w:t>
      </w:r>
      <w:r w:rsidR="00282290">
        <w:t>t</w:t>
      </w:r>
      <w:r>
        <w:t xml:space="preserve">esting.  </w:t>
      </w:r>
      <w:r>
        <w:rPr>
          <w:i/>
          <w:iCs/>
        </w:rPr>
        <w:t>Econometrica</w:t>
      </w:r>
      <w:r>
        <w:t xml:space="preserve"> 55: 251</w:t>
      </w:r>
      <w:r w:rsidR="00282290">
        <w:t>–</w:t>
      </w:r>
      <w:r>
        <w:t>276.</w:t>
      </w:r>
    </w:p>
    <w:p w:rsidR="00455144" w:rsidRDefault="00455144" w:rsidP="00575105">
      <w:r>
        <w:t>Engle, R. F. , and J. Issler (199</w:t>
      </w:r>
      <w:r w:rsidR="00A84E9E">
        <w:t>5)</w:t>
      </w:r>
      <w:r>
        <w:t xml:space="preserve">. Common </w:t>
      </w:r>
      <w:r w:rsidR="00282290">
        <w:t>t</w:t>
      </w:r>
      <w:r>
        <w:t xml:space="preserve">rends and </w:t>
      </w:r>
      <w:r w:rsidR="00282290">
        <w:t>c</w:t>
      </w:r>
      <w:r>
        <w:t xml:space="preserve">ommon </w:t>
      </w:r>
      <w:r w:rsidR="00282290">
        <w:t>c</w:t>
      </w:r>
      <w:r>
        <w:t xml:space="preserve">ycles in Latin America. </w:t>
      </w:r>
      <w:r>
        <w:rPr>
          <w:i/>
          <w:iCs/>
        </w:rPr>
        <w:t>Revista Brasileira de Economia</w:t>
      </w:r>
      <w:r w:rsidR="00282290">
        <w:rPr>
          <w:i/>
          <w:iCs/>
        </w:rPr>
        <w:t>,</w:t>
      </w:r>
      <w:r>
        <w:t xml:space="preserve"> 47: 149</w:t>
      </w:r>
      <w:r w:rsidR="00282290">
        <w:t>–</w:t>
      </w:r>
      <w:r>
        <w:t>176.</w:t>
      </w:r>
    </w:p>
    <w:p w:rsidR="00523CA6" w:rsidRDefault="00523CA6" w:rsidP="00575105">
      <w:r>
        <w:t xml:space="preserve">Engle, R. F., and S. Kozicki (1993). Testing for </w:t>
      </w:r>
      <w:r w:rsidR="00282290">
        <w:t>c</w:t>
      </w:r>
      <w:r>
        <w:t xml:space="preserve">ommon </w:t>
      </w:r>
      <w:r w:rsidR="00282290">
        <w:t>f</w:t>
      </w:r>
      <w:r>
        <w:t xml:space="preserve">eatures.  </w:t>
      </w:r>
      <w:r>
        <w:rPr>
          <w:i/>
          <w:iCs/>
        </w:rPr>
        <w:t>Journal of Business and Economic Statistics</w:t>
      </w:r>
      <w:r w:rsidR="00282290">
        <w:rPr>
          <w:i/>
          <w:iCs/>
        </w:rPr>
        <w:t>,</w:t>
      </w:r>
      <w:r>
        <w:t xml:space="preserve"> 11 (1993): 369</w:t>
      </w:r>
      <w:r w:rsidR="00282290">
        <w:t>–</w:t>
      </w:r>
      <w:r>
        <w:t>380.</w:t>
      </w:r>
    </w:p>
    <w:p w:rsidR="00575105" w:rsidRPr="00575105" w:rsidRDefault="00575105" w:rsidP="00575105">
      <w:r w:rsidRPr="00575105">
        <w:t xml:space="preserve">Faff, R., </w:t>
      </w:r>
      <w:r w:rsidR="00C225AC">
        <w:t>and</w:t>
      </w:r>
      <w:r w:rsidRPr="00575105">
        <w:t xml:space="preserve"> </w:t>
      </w:r>
      <w:r w:rsidR="00282290">
        <w:t xml:space="preserve">T. </w:t>
      </w:r>
      <w:r w:rsidRPr="00575105">
        <w:t xml:space="preserve">Brailsford (1999). Oil price risk and the Australian stock market. </w:t>
      </w:r>
      <w:r w:rsidRPr="00D16824">
        <w:rPr>
          <w:i/>
        </w:rPr>
        <w:t xml:space="preserve">Journal of Energy Finance </w:t>
      </w:r>
      <w:r w:rsidR="00C225AC" w:rsidRPr="00D16824">
        <w:rPr>
          <w:i/>
        </w:rPr>
        <w:t>and</w:t>
      </w:r>
      <w:r w:rsidRPr="00D16824">
        <w:rPr>
          <w:i/>
        </w:rPr>
        <w:t xml:space="preserve"> Development</w:t>
      </w:r>
      <w:r w:rsidRPr="00575105">
        <w:t>, 4</w:t>
      </w:r>
      <w:r w:rsidR="00282290">
        <w:t>:</w:t>
      </w:r>
      <w:r w:rsidRPr="00575105">
        <w:t xml:space="preserve"> 69–87.</w:t>
      </w:r>
    </w:p>
    <w:p w:rsidR="00575105" w:rsidRDefault="00575105" w:rsidP="00575105">
      <w:r w:rsidRPr="00575105">
        <w:t xml:space="preserve">Fama, E. F., </w:t>
      </w:r>
      <w:r w:rsidR="00C225AC">
        <w:t>and</w:t>
      </w:r>
      <w:r w:rsidRPr="00575105">
        <w:t xml:space="preserve"> </w:t>
      </w:r>
      <w:r w:rsidR="00282290" w:rsidRPr="00575105">
        <w:t xml:space="preserve">K. R. </w:t>
      </w:r>
      <w:r w:rsidRPr="00575105">
        <w:t xml:space="preserve">French (1993). Common risk factors in the returns on stocks and bonds. </w:t>
      </w:r>
      <w:r w:rsidRPr="00D16824">
        <w:rPr>
          <w:i/>
        </w:rPr>
        <w:t>Journal of Financial Economics</w:t>
      </w:r>
      <w:r w:rsidRPr="00575105">
        <w:t>, 33</w:t>
      </w:r>
      <w:r w:rsidR="00282290">
        <w:t>:</w:t>
      </w:r>
      <w:r w:rsidRPr="00575105">
        <w:t xml:space="preserve"> 3–56.</w:t>
      </w:r>
    </w:p>
    <w:p w:rsidR="003D2C77" w:rsidRDefault="003D2C77" w:rsidP="003D2C77">
      <w:r w:rsidRPr="003D2C77">
        <w:t xml:space="preserve">Fayyad, A., </w:t>
      </w:r>
      <w:r w:rsidR="00C225AC">
        <w:t xml:space="preserve">and </w:t>
      </w:r>
      <w:r>
        <w:t xml:space="preserve">K. </w:t>
      </w:r>
      <w:r w:rsidRPr="003D2C77">
        <w:t xml:space="preserve">Daly </w:t>
      </w:r>
      <w:r>
        <w:t>(</w:t>
      </w:r>
      <w:r w:rsidRPr="003D2C77">
        <w:t>2011</w:t>
      </w:r>
      <w:r>
        <w:t>)</w:t>
      </w:r>
      <w:r w:rsidRPr="003D2C77">
        <w:t>. The impact of oil price shocks on stock market returns: comparing GCC countries with the UK and USA.</w:t>
      </w:r>
      <w:r>
        <w:t xml:space="preserve"> </w:t>
      </w:r>
      <w:r w:rsidRPr="00D16824">
        <w:rPr>
          <w:i/>
        </w:rPr>
        <w:t>Emerging Markets Review</w:t>
      </w:r>
      <w:r w:rsidR="00282290">
        <w:rPr>
          <w:i/>
        </w:rPr>
        <w:t>,</w:t>
      </w:r>
      <w:r w:rsidRPr="003D2C77">
        <w:t xml:space="preserve"> 12</w:t>
      </w:r>
      <w:r w:rsidR="00282290">
        <w:t>:</w:t>
      </w:r>
      <w:r w:rsidRPr="003D2C77">
        <w:t xml:space="preserve"> 61–78.</w:t>
      </w:r>
    </w:p>
    <w:p w:rsidR="008B2055" w:rsidRPr="00575105" w:rsidRDefault="008B2055" w:rsidP="008B2055">
      <w:r>
        <w:t>Ferson, W., and C. Harvey</w:t>
      </w:r>
      <w:r w:rsidRPr="008B2055">
        <w:t xml:space="preserve"> </w:t>
      </w:r>
      <w:r>
        <w:t>(</w:t>
      </w:r>
      <w:r w:rsidRPr="008B2055">
        <w:t>1995</w:t>
      </w:r>
      <w:r>
        <w:t>).</w:t>
      </w:r>
      <w:r w:rsidRPr="008B2055">
        <w:t xml:space="preserve"> Predictability and time-varying risk in world </w:t>
      </w:r>
      <w:r w:rsidR="00674202">
        <w:t>stock</w:t>
      </w:r>
      <w:r>
        <w:t xml:space="preserve"> </w:t>
      </w:r>
      <w:r w:rsidRPr="008B2055">
        <w:t>markets</w:t>
      </w:r>
      <w:r w:rsidR="00282290">
        <w:t>.</w:t>
      </w:r>
      <w:r w:rsidRPr="008B2055">
        <w:t xml:space="preserve"> </w:t>
      </w:r>
      <w:r w:rsidRPr="008B2055">
        <w:rPr>
          <w:i/>
          <w:iCs/>
        </w:rPr>
        <w:t>Research in Financ</w:t>
      </w:r>
      <w:r w:rsidRPr="008B2055">
        <w:t>e, 13</w:t>
      </w:r>
      <w:r w:rsidR="00282290">
        <w:t>:</w:t>
      </w:r>
      <w:r w:rsidRPr="008B2055">
        <w:t xml:space="preserve"> 25-88.</w:t>
      </w:r>
    </w:p>
    <w:p w:rsidR="00310246" w:rsidRDefault="00310246" w:rsidP="00310246">
      <w:pPr>
        <w:rPr>
          <w:bCs/>
        </w:rPr>
      </w:pPr>
      <w:r w:rsidRPr="00310246">
        <w:rPr>
          <w:bCs/>
        </w:rPr>
        <w:t xml:space="preserve">Favero, C.A. and </w:t>
      </w:r>
      <w:r>
        <w:rPr>
          <w:bCs/>
        </w:rPr>
        <w:t xml:space="preserve">F. </w:t>
      </w:r>
      <w:r w:rsidRPr="00310246">
        <w:rPr>
          <w:bCs/>
        </w:rPr>
        <w:t xml:space="preserve">Giavazzi </w:t>
      </w:r>
      <w:r>
        <w:rPr>
          <w:bCs/>
        </w:rPr>
        <w:t>(</w:t>
      </w:r>
      <w:r w:rsidRPr="00310246">
        <w:rPr>
          <w:bCs/>
        </w:rPr>
        <w:t>2002</w:t>
      </w:r>
      <w:r>
        <w:rPr>
          <w:bCs/>
        </w:rPr>
        <w:t>)</w:t>
      </w:r>
      <w:r w:rsidRPr="00310246">
        <w:rPr>
          <w:bCs/>
        </w:rPr>
        <w:t xml:space="preserve">. Is the </w:t>
      </w:r>
      <w:r w:rsidR="00282290">
        <w:rPr>
          <w:bCs/>
        </w:rPr>
        <w:t>i</w:t>
      </w:r>
      <w:r w:rsidRPr="00310246">
        <w:rPr>
          <w:bCs/>
        </w:rPr>
        <w:t xml:space="preserve">nternational </w:t>
      </w:r>
      <w:r w:rsidR="00282290">
        <w:rPr>
          <w:bCs/>
        </w:rPr>
        <w:t>p</w:t>
      </w:r>
      <w:r w:rsidRPr="00310246">
        <w:rPr>
          <w:bCs/>
        </w:rPr>
        <w:t xml:space="preserve">ropagation of </w:t>
      </w:r>
      <w:r w:rsidR="00282290">
        <w:rPr>
          <w:bCs/>
        </w:rPr>
        <w:t>f</w:t>
      </w:r>
      <w:r w:rsidRPr="00310246">
        <w:rPr>
          <w:bCs/>
        </w:rPr>
        <w:t xml:space="preserve">inancial </w:t>
      </w:r>
      <w:r w:rsidR="00282290">
        <w:rPr>
          <w:bCs/>
        </w:rPr>
        <w:t>s</w:t>
      </w:r>
      <w:r w:rsidRPr="00310246">
        <w:rPr>
          <w:bCs/>
        </w:rPr>
        <w:t>hocks</w:t>
      </w:r>
      <w:r>
        <w:rPr>
          <w:bCs/>
        </w:rPr>
        <w:t xml:space="preserve"> </w:t>
      </w:r>
      <w:r w:rsidR="00282290">
        <w:rPr>
          <w:bCs/>
        </w:rPr>
        <w:t>n</w:t>
      </w:r>
      <w:r w:rsidRPr="00310246">
        <w:rPr>
          <w:bCs/>
        </w:rPr>
        <w:t>on-</w:t>
      </w:r>
      <w:r w:rsidR="00282290">
        <w:rPr>
          <w:bCs/>
        </w:rPr>
        <w:t>l</w:t>
      </w:r>
      <w:r w:rsidRPr="00310246">
        <w:rPr>
          <w:bCs/>
        </w:rPr>
        <w:t>inear? Evidence from the ERM</w:t>
      </w:r>
      <w:r w:rsidR="00282290">
        <w:rPr>
          <w:bCs/>
        </w:rPr>
        <w:t>.</w:t>
      </w:r>
      <w:r w:rsidRPr="00310246">
        <w:rPr>
          <w:bCs/>
        </w:rPr>
        <w:t xml:space="preserve"> </w:t>
      </w:r>
      <w:r w:rsidRPr="00310246">
        <w:rPr>
          <w:bCs/>
          <w:i/>
          <w:iCs/>
        </w:rPr>
        <w:t>Journal of International Economics</w:t>
      </w:r>
      <w:r w:rsidR="00282290">
        <w:rPr>
          <w:bCs/>
          <w:i/>
          <w:iCs/>
        </w:rPr>
        <w:t>,</w:t>
      </w:r>
      <w:r>
        <w:rPr>
          <w:bCs/>
          <w:i/>
          <w:iCs/>
        </w:rPr>
        <w:t xml:space="preserve"> </w:t>
      </w:r>
      <w:r w:rsidRPr="00310246">
        <w:rPr>
          <w:bCs/>
        </w:rPr>
        <w:t>51</w:t>
      </w:r>
      <w:r w:rsidR="00282290">
        <w:rPr>
          <w:bCs/>
        </w:rPr>
        <w:t>:</w:t>
      </w:r>
      <w:r w:rsidRPr="00310246">
        <w:rPr>
          <w:bCs/>
        </w:rPr>
        <w:t xml:space="preserve"> 231</w:t>
      </w:r>
      <w:r w:rsidR="00282290">
        <w:rPr>
          <w:bCs/>
        </w:rPr>
        <w:t>–</w:t>
      </w:r>
      <w:r w:rsidRPr="00310246">
        <w:rPr>
          <w:bCs/>
        </w:rPr>
        <w:t>246.</w:t>
      </w:r>
    </w:p>
    <w:p w:rsidR="00310246" w:rsidRDefault="00310246" w:rsidP="00310246">
      <w:pPr>
        <w:rPr>
          <w:bCs/>
        </w:rPr>
      </w:pPr>
      <w:r w:rsidRPr="00310246">
        <w:rPr>
          <w:bCs/>
        </w:rPr>
        <w:t xml:space="preserve">Forbes, K. and </w:t>
      </w:r>
      <w:r w:rsidR="00282290">
        <w:rPr>
          <w:bCs/>
        </w:rPr>
        <w:t xml:space="preserve">R. </w:t>
      </w:r>
      <w:r w:rsidRPr="00310246">
        <w:rPr>
          <w:bCs/>
        </w:rPr>
        <w:t>Rigobon</w:t>
      </w:r>
      <w:r w:rsidR="00282290">
        <w:rPr>
          <w:bCs/>
        </w:rPr>
        <w:t xml:space="preserve"> (</w:t>
      </w:r>
      <w:r w:rsidRPr="00310246">
        <w:rPr>
          <w:bCs/>
        </w:rPr>
        <w:t>2001</w:t>
      </w:r>
      <w:r w:rsidR="00282290">
        <w:rPr>
          <w:bCs/>
        </w:rPr>
        <w:t>)</w:t>
      </w:r>
      <w:r w:rsidRPr="00310246">
        <w:rPr>
          <w:bCs/>
        </w:rPr>
        <w:t xml:space="preserve"> Measuring </w:t>
      </w:r>
      <w:r w:rsidR="00282290">
        <w:rPr>
          <w:bCs/>
        </w:rPr>
        <w:t>c</w:t>
      </w:r>
      <w:r w:rsidRPr="00310246">
        <w:rPr>
          <w:bCs/>
        </w:rPr>
        <w:t xml:space="preserve">ontagion: </w:t>
      </w:r>
      <w:r w:rsidR="00282290">
        <w:rPr>
          <w:bCs/>
        </w:rPr>
        <w:t>c</w:t>
      </w:r>
      <w:r w:rsidRPr="00310246">
        <w:rPr>
          <w:bCs/>
        </w:rPr>
        <w:t xml:space="preserve">onceptual and </w:t>
      </w:r>
      <w:r w:rsidR="00282290">
        <w:rPr>
          <w:bCs/>
        </w:rPr>
        <w:t>e</w:t>
      </w:r>
      <w:r w:rsidRPr="00310246">
        <w:rPr>
          <w:bCs/>
        </w:rPr>
        <w:t>mpirical</w:t>
      </w:r>
      <w:r>
        <w:rPr>
          <w:bCs/>
        </w:rPr>
        <w:t xml:space="preserve"> </w:t>
      </w:r>
      <w:r w:rsidR="00282290">
        <w:rPr>
          <w:bCs/>
        </w:rPr>
        <w:t>i</w:t>
      </w:r>
      <w:r w:rsidRPr="00310246">
        <w:rPr>
          <w:bCs/>
        </w:rPr>
        <w:t>ssues</w:t>
      </w:r>
      <w:r w:rsidR="00282290">
        <w:rPr>
          <w:bCs/>
        </w:rPr>
        <w:t>.</w:t>
      </w:r>
      <w:r w:rsidR="00282290" w:rsidRPr="00310246">
        <w:rPr>
          <w:bCs/>
        </w:rPr>
        <w:t xml:space="preserve"> </w:t>
      </w:r>
      <w:r w:rsidR="00282290">
        <w:rPr>
          <w:bCs/>
        </w:rPr>
        <w:t>I</w:t>
      </w:r>
      <w:r w:rsidRPr="00310246">
        <w:rPr>
          <w:bCs/>
        </w:rPr>
        <w:t xml:space="preserve">n Claessens, S. and Forbes, K. (eds.), </w:t>
      </w:r>
      <w:r w:rsidRPr="00310246">
        <w:rPr>
          <w:bCs/>
          <w:i/>
          <w:iCs/>
        </w:rPr>
        <w:t>International Financial</w:t>
      </w:r>
      <w:r>
        <w:rPr>
          <w:bCs/>
          <w:i/>
          <w:iCs/>
        </w:rPr>
        <w:t xml:space="preserve"> </w:t>
      </w:r>
      <w:r w:rsidRPr="00310246">
        <w:rPr>
          <w:bCs/>
          <w:i/>
          <w:iCs/>
        </w:rPr>
        <w:t>Contagion</w:t>
      </w:r>
      <w:r w:rsidR="00282290">
        <w:rPr>
          <w:bCs/>
          <w:i/>
          <w:iCs/>
        </w:rPr>
        <w:t>.</w:t>
      </w:r>
      <w:r w:rsidRPr="00310246">
        <w:rPr>
          <w:bCs/>
        </w:rPr>
        <w:t xml:space="preserve"> </w:t>
      </w:r>
      <w:r w:rsidR="00C3562F">
        <w:rPr>
          <w:bCs/>
        </w:rPr>
        <w:t xml:space="preserve">(: </w:t>
      </w:r>
      <w:r w:rsidRPr="00310246">
        <w:rPr>
          <w:bCs/>
        </w:rPr>
        <w:t>Kluwer Academic Publishers</w:t>
      </w:r>
      <w:r w:rsidR="00C3562F">
        <w:rPr>
          <w:bCs/>
        </w:rPr>
        <w:t>)</w:t>
      </w:r>
      <w:r w:rsidR="008605F3">
        <w:rPr>
          <w:bCs/>
        </w:rPr>
        <w:t>, Springer</w:t>
      </w:r>
      <w:r w:rsidR="009E1064">
        <w:rPr>
          <w:bCs/>
        </w:rPr>
        <w:t>, Ch. 3: 43-66</w:t>
      </w:r>
      <w:r w:rsidR="008605F3">
        <w:rPr>
          <w:bCs/>
        </w:rPr>
        <w:t xml:space="preserve"> </w:t>
      </w:r>
      <w:r w:rsidRPr="00310246">
        <w:rPr>
          <w:bCs/>
        </w:rPr>
        <w:t>.</w:t>
      </w:r>
    </w:p>
    <w:p w:rsidR="0034422B" w:rsidRDefault="0034422B" w:rsidP="00575105">
      <w:pPr>
        <w:rPr>
          <w:bCs/>
        </w:rPr>
      </w:pPr>
      <w:r w:rsidRPr="0034422B">
        <w:rPr>
          <w:bCs/>
        </w:rPr>
        <w:t>Forbes</w:t>
      </w:r>
      <w:r>
        <w:rPr>
          <w:bCs/>
        </w:rPr>
        <w:t>, K.</w:t>
      </w:r>
      <w:r w:rsidRPr="0034422B">
        <w:rPr>
          <w:bCs/>
        </w:rPr>
        <w:t xml:space="preserve"> and R. Rigobon</w:t>
      </w:r>
      <w:r>
        <w:rPr>
          <w:bCs/>
        </w:rPr>
        <w:t xml:space="preserve"> (2002)</w:t>
      </w:r>
      <w:r w:rsidR="00C3562F">
        <w:rPr>
          <w:bCs/>
        </w:rPr>
        <w:t>.</w:t>
      </w:r>
      <w:r w:rsidRPr="0034422B">
        <w:rPr>
          <w:bCs/>
        </w:rPr>
        <w:t xml:space="preserve"> No contagion, only interdependence: measuring stock market co-movements. </w:t>
      </w:r>
      <w:r w:rsidRPr="0034422B">
        <w:rPr>
          <w:bCs/>
          <w:i/>
          <w:iCs/>
        </w:rPr>
        <w:t>Journal of Finance</w:t>
      </w:r>
      <w:r w:rsidRPr="0034422B">
        <w:rPr>
          <w:bCs/>
        </w:rPr>
        <w:t xml:space="preserve">, </w:t>
      </w:r>
      <w:r w:rsidR="00E1141E" w:rsidRPr="00E1141E">
        <w:rPr>
          <w:bCs/>
        </w:rPr>
        <w:t>57</w:t>
      </w:r>
      <w:r w:rsidR="00C3562F">
        <w:rPr>
          <w:bCs/>
        </w:rPr>
        <w:t>(</w:t>
      </w:r>
      <w:r>
        <w:rPr>
          <w:bCs/>
        </w:rPr>
        <w:t>5</w:t>
      </w:r>
      <w:r w:rsidR="00C3562F">
        <w:rPr>
          <w:bCs/>
        </w:rPr>
        <w:t>):</w:t>
      </w:r>
      <w:r w:rsidRPr="0034422B">
        <w:rPr>
          <w:bCs/>
        </w:rPr>
        <w:t>. 2223–2261</w:t>
      </w:r>
      <w:r w:rsidR="00233B12">
        <w:rPr>
          <w:bCs/>
        </w:rPr>
        <w:t>.</w:t>
      </w:r>
    </w:p>
    <w:p w:rsidR="00486FED" w:rsidRPr="00486FED" w:rsidRDefault="00486FED" w:rsidP="00486FED">
      <w:pPr>
        <w:rPr>
          <w:bCs/>
        </w:rPr>
      </w:pPr>
      <w:r>
        <w:rPr>
          <w:bCs/>
        </w:rPr>
        <w:t>Geweke, J.</w:t>
      </w:r>
      <w:r w:rsidRPr="00486FED">
        <w:rPr>
          <w:bCs/>
        </w:rPr>
        <w:t xml:space="preserve"> (1977)</w:t>
      </w:r>
      <w:r>
        <w:rPr>
          <w:bCs/>
        </w:rPr>
        <w:t>.</w:t>
      </w:r>
      <w:r w:rsidRPr="00486FED">
        <w:rPr>
          <w:bCs/>
        </w:rPr>
        <w:t xml:space="preserve"> The dynamic factor analysis of economic time series</w:t>
      </w:r>
      <w:r w:rsidR="00C3562F">
        <w:rPr>
          <w:bCs/>
        </w:rPr>
        <w:t>. I</w:t>
      </w:r>
      <w:r w:rsidRPr="00486FED">
        <w:rPr>
          <w:bCs/>
        </w:rPr>
        <w:t>n Aigner</w:t>
      </w:r>
      <w:r w:rsidR="00C3562F">
        <w:rPr>
          <w:bCs/>
        </w:rPr>
        <w:t>, D. J.</w:t>
      </w:r>
      <w:r w:rsidRPr="00486FED">
        <w:rPr>
          <w:bCs/>
        </w:rPr>
        <w:t xml:space="preserve"> and Goldberger</w:t>
      </w:r>
      <w:r w:rsidR="00C3562F">
        <w:rPr>
          <w:bCs/>
        </w:rPr>
        <w:t>, A. S.</w:t>
      </w:r>
      <w:r w:rsidRPr="00486FED">
        <w:rPr>
          <w:bCs/>
        </w:rPr>
        <w:t xml:space="preserve"> (eds.) </w:t>
      </w:r>
      <w:r w:rsidRPr="00486FED">
        <w:rPr>
          <w:bCs/>
          <w:i/>
          <w:iCs/>
        </w:rPr>
        <w:t xml:space="preserve">Latent Variables in Socio-Economic Models </w:t>
      </w:r>
      <w:r w:rsidRPr="00486FED">
        <w:rPr>
          <w:bCs/>
        </w:rPr>
        <w:t>(Amsterdam: North-Holland)</w:t>
      </w:r>
      <w:r w:rsidR="00060FF3" w:rsidRPr="00060FF3">
        <w:rPr>
          <w:rFonts w:ascii="NimbusRomNo9L-Regu" w:hAnsi="NimbusRomNo9L-Regu" w:cs="NimbusRomNo9L-Regu"/>
          <w:sz w:val="16"/>
          <w:szCs w:val="16"/>
        </w:rPr>
        <w:t xml:space="preserve"> </w:t>
      </w:r>
      <w:r w:rsidR="00060FF3" w:rsidRPr="00060FF3">
        <w:rPr>
          <w:bCs/>
        </w:rPr>
        <w:t>365–383</w:t>
      </w:r>
      <w:r w:rsidRPr="00486FED">
        <w:rPr>
          <w:bCs/>
        </w:rPr>
        <w:t>.</w:t>
      </w:r>
    </w:p>
    <w:p w:rsidR="00233B12" w:rsidRDefault="00233B12" w:rsidP="00233B12">
      <w:pPr>
        <w:rPr>
          <w:bCs/>
          <w:lang w:val="en-GB"/>
        </w:rPr>
      </w:pPr>
      <w:r w:rsidRPr="00233B12">
        <w:rPr>
          <w:bCs/>
        </w:rPr>
        <w:t xml:space="preserve">Giannone, D., </w:t>
      </w:r>
      <w:r w:rsidR="00C3562F">
        <w:rPr>
          <w:bCs/>
        </w:rPr>
        <w:t xml:space="preserve">M. </w:t>
      </w:r>
      <w:r w:rsidRPr="00233B12">
        <w:rPr>
          <w:bCs/>
        </w:rPr>
        <w:t>Le</w:t>
      </w:r>
      <w:r>
        <w:rPr>
          <w:bCs/>
        </w:rPr>
        <w:t>nza and L. Reichlin</w:t>
      </w:r>
      <w:r w:rsidR="00C3562F">
        <w:rPr>
          <w:bCs/>
        </w:rPr>
        <w:t xml:space="preserve"> (</w:t>
      </w:r>
      <w:r>
        <w:rPr>
          <w:bCs/>
        </w:rPr>
        <w:t>2008</w:t>
      </w:r>
      <w:r w:rsidR="00C3562F">
        <w:rPr>
          <w:bCs/>
        </w:rPr>
        <w:t>)</w:t>
      </w:r>
      <w:r>
        <w:rPr>
          <w:bCs/>
        </w:rPr>
        <w:t xml:space="preserve">. </w:t>
      </w:r>
      <w:r w:rsidRPr="00233B12">
        <w:rPr>
          <w:bCs/>
        </w:rPr>
        <w:t>Explaining the great moderation: it is not the</w:t>
      </w:r>
      <w:r>
        <w:rPr>
          <w:bCs/>
        </w:rPr>
        <w:t xml:space="preserve"> </w:t>
      </w:r>
      <w:r w:rsidRPr="00233B12">
        <w:rPr>
          <w:bCs/>
        </w:rPr>
        <w:t xml:space="preserve">shocks. </w:t>
      </w:r>
      <w:r w:rsidRPr="00D16824">
        <w:rPr>
          <w:bCs/>
          <w:i/>
        </w:rPr>
        <w:t>Journal of the European Economic Association</w:t>
      </w:r>
      <w:r>
        <w:rPr>
          <w:bCs/>
        </w:rPr>
        <w:t>, 6(2</w:t>
      </w:r>
      <w:r w:rsidR="00C3562F">
        <w:rPr>
          <w:bCs/>
        </w:rPr>
        <w:t>–</w:t>
      </w:r>
      <w:r>
        <w:rPr>
          <w:bCs/>
        </w:rPr>
        <w:t>3): 621</w:t>
      </w:r>
      <w:r w:rsidR="00C3562F">
        <w:rPr>
          <w:bCs/>
        </w:rPr>
        <w:t>–</w:t>
      </w:r>
      <w:r w:rsidRPr="00233B12">
        <w:rPr>
          <w:bCs/>
        </w:rPr>
        <w:t>633.</w:t>
      </w:r>
    </w:p>
    <w:p w:rsidR="00FA6A12" w:rsidRDefault="005A2C4C" w:rsidP="00575105">
      <w:r w:rsidRPr="005A2C4C">
        <w:rPr>
          <w:bCs/>
          <w:lang w:val="en-GB"/>
        </w:rPr>
        <w:lastRenderedPageBreak/>
        <w:t>Girard</w:t>
      </w:r>
      <w:r>
        <w:rPr>
          <w:bCs/>
          <w:lang w:val="en-GB"/>
        </w:rPr>
        <w:t>,</w:t>
      </w:r>
      <w:r>
        <w:rPr>
          <w:lang w:val="en-GB"/>
        </w:rPr>
        <w:t xml:space="preserve"> E., </w:t>
      </w:r>
      <w:r w:rsidR="00C225AC">
        <w:rPr>
          <w:lang w:val="en-GB"/>
        </w:rPr>
        <w:t>and</w:t>
      </w:r>
      <w:r>
        <w:rPr>
          <w:lang w:val="en-GB"/>
        </w:rPr>
        <w:t xml:space="preserve"> E. Ferreira </w:t>
      </w:r>
      <w:r>
        <w:t>(</w:t>
      </w:r>
      <w:r w:rsidRPr="005A2C4C">
        <w:t>2004</w:t>
      </w:r>
      <w:r>
        <w:t xml:space="preserve">). </w:t>
      </w:r>
      <w:r w:rsidRPr="005A2C4C">
        <w:t xml:space="preserve">Long term </w:t>
      </w:r>
      <w:r w:rsidR="00C3562F">
        <w:t>s</w:t>
      </w:r>
      <w:r w:rsidRPr="005A2C4C">
        <w:t xml:space="preserve">tochastic trends </w:t>
      </w:r>
      <w:r w:rsidR="00C3562F">
        <w:t>i</w:t>
      </w:r>
      <w:r w:rsidRPr="005A2C4C">
        <w:t>n</w:t>
      </w:r>
      <w:r>
        <w:t xml:space="preserve"> MENA </w:t>
      </w:r>
      <w:r w:rsidR="00C3562F">
        <w:t>c</w:t>
      </w:r>
      <w:r>
        <w:t xml:space="preserve">apital </w:t>
      </w:r>
      <w:r w:rsidR="00C3562F">
        <w:t>m</w:t>
      </w:r>
      <w:r>
        <w:t>arkets.</w:t>
      </w:r>
      <w:r w:rsidRPr="005A2C4C">
        <w:t xml:space="preserve"> </w:t>
      </w:r>
      <w:r w:rsidRPr="00D16824">
        <w:rPr>
          <w:i/>
        </w:rPr>
        <w:t>The International Business and Economics Research Journal</w:t>
      </w:r>
      <w:r w:rsidR="00C3562F">
        <w:rPr>
          <w:i/>
        </w:rPr>
        <w:t>,</w:t>
      </w:r>
      <w:r w:rsidRPr="005A2C4C">
        <w:t xml:space="preserve"> 3 (2)</w:t>
      </w:r>
      <w:r w:rsidR="00C3562F">
        <w:t>:</w:t>
      </w:r>
      <w:r w:rsidRPr="005A2C4C">
        <w:t>. 23</w:t>
      </w:r>
      <w:r w:rsidR="00C3562F">
        <w:t>–</w:t>
      </w:r>
      <w:r w:rsidRPr="005A2C4C">
        <w:t>45.</w:t>
      </w:r>
    </w:p>
    <w:p w:rsidR="00FA6A12" w:rsidRDefault="00FA6A12" w:rsidP="00575105">
      <w:r>
        <w:t xml:space="preserve">Girard, E., </w:t>
      </w:r>
      <w:r w:rsidR="00C3562F">
        <w:t xml:space="preserve">M. </w:t>
      </w:r>
      <w:r>
        <w:t xml:space="preserve">Omran, and T. Zaher (2003). On </w:t>
      </w:r>
      <w:r w:rsidR="00C3562F">
        <w:t>r</w:t>
      </w:r>
      <w:r>
        <w:t xml:space="preserve">isk and </w:t>
      </w:r>
      <w:r w:rsidR="00C3562F">
        <w:t>r</w:t>
      </w:r>
      <w:r>
        <w:t xml:space="preserve">eturn in MENA </w:t>
      </w:r>
      <w:r w:rsidR="00C3562F">
        <w:t>c</w:t>
      </w:r>
      <w:r>
        <w:t xml:space="preserve">apital </w:t>
      </w:r>
      <w:r w:rsidR="00C3562F">
        <w:t>m</w:t>
      </w:r>
      <w:r>
        <w:t xml:space="preserve">arkets. </w:t>
      </w:r>
      <w:r w:rsidRPr="00D16824">
        <w:rPr>
          <w:i/>
        </w:rPr>
        <w:t>International Journal of Business</w:t>
      </w:r>
      <w:r>
        <w:t>, 8</w:t>
      </w:r>
      <w:r w:rsidR="00C3562F">
        <w:t>:</w:t>
      </w:r>
      <w:r>
        <w:t xml:space="preserve"> 285</w:t>
      </w:r>
      <w:r w:rsidR="00C3562F">
        <w:t>–</w:t>
      </w:r>
      <w:r>
        <w:t>314.</w:t>
      </w:r>
    </w:p>
    <w:p w:rsidR="0020635D" w:rsidRDefault="0020635D" w:rsidP="0020635D">
      <w:r w:rsidRPr="0020635D">
        <w:t xml:space="preserve">Glick, R. and </w:t>
      </w:r>
      <w:r>
        <w:t xml:space="preserve">A. K. </w:t>
      </w:r>
      <w:r w:rsidRPr="0020635D">
        <w:t xml:space="preserve">Rose </w:t>
      </w:r>
      <w:r>
        <w:t>(</w:t>
      </w:r>
      <w:r w:rsidRPr="0020635D">
        <w:t>1999</w:t>
      </w:r>
      <w:r>
        <w:t>)</w:t>
      </w:r>
      <w:r w:rsidRPr="0020635D">
        <w:t xml:space="preserve">. Contagion and </w:t>
      </w:r>
      <w:r w:rsidR="00C3562F">
        <w:t>t</w:t>
      </w:r>
      <w:r w:rsidRPr="0020635D">
        <w:t xml:space="preserve">rade: </w:t>
      </w:r>
      <w:r w:rsidR="00C3562F">
        <w:t>w</w:t>
      </w:r>
      <w:r w:rsidRPr="0020635D">
        <w:t xml:space="preserve">hy are </w:t>
      </w:r>
      <w:r w:rsidR="00C3562F">
        <w:t>c</w:t>
      </w:r>
      <w:r w:rsidRPr="0020635D">
        <w:t xml:space="preserve">urrency </w:t>
      </w:r>
      <w:r w:rsidR="00C3562F">
        <w:t>c</w:t>
      </w:r>
      <w:r w:rsidRPr="0020635D">
        <w:t>rises</w:t>
      </w:r>
      <w:r>
        <w:t xml:space="preserve"> </w:t>
      </w:r>
      <w:r w:rsidR="00C3562F">
        <w:t>r</w:t>
      </w:r>
      <w:r w:rsidRPr="0020635D">
        <w:t xml:space="preserve">egional? </w:t>
      </w:r>
      <w:r w:rsidRPr="0020635D">
        <w:rPr>
          <w:i/>
          <w:iCs/>
        </w:rPr>
        <w:t>Journal of International Money and Finance</w:t>
      </w:r>
      <w:r w:rsidR="00C3562F">
        <w:rPr>
          <w:i/>
          <w:iCs/>
        </w:rPr>
        <w:t>,</w:t>
      </w:r>
      <w:r w:rsidRPr="0020635D">
        <w:rPr>
          <w:i/>
          <w:iCs/>
        </w:rPr>
        <w:t xml:space="preserve"> </w:t>
      </w:r>
      <w:r w:rsidRPr="0020635D">
        <w:t>18</w:t>
      </w:r>
      <w:r w:rsidR="00C3562F">
        <w:t>:</w:t>
      </w:r>
      <w:r w:rsidRPr="0020635D">
        <w:t xml:space="preserve"> 603</w:t>
      </w:r>
      <w:r w:rsidR="00C3562F">
        <w:t>–</w:t>
      </w:r>
      <w:r w:rsidRPr="0020635D">
        <w:t>617.</w:t>
      </w:r>
    </w:p>
    <w:p w:rsidR="00575105" w:rsidRPr="00575105" w:rsidRDefault="00575105" w:rsidP="00575105">
      <w:r w:rsidRPr="00575105">
        <w:t xml:space="preserve">Hamao, Y. (1989). An empirical examination of the arbitrage pricing theory: </w:t>
      </w:r>
      <w:r w:rsidR="00C3562F">
        <w:t>u</w:t>
      </w:r>
      <w:r w:rsidRPr="00575105">
        <w:t xml:space="preserve">sing Japanese data. </w:t>
      </w:r>
      <w:r w:rsidRPr="00D16824">
        <w:rPr>
          <w:i/>
        </w:rPr>
        <w:t>Japan and the World Economy</w:t>
      </w:r>
      <w:r w:rsidRPr="00575105">
        <w:t>, 1</w:t>
      </w:r>
      <w:r w:rsidR="00C3562F">
        <w:t>:</w:t>
      </w:r>
      <w:r>
        <w:t xml:space="preserve"> </w:t>
      </w:r>
      <w:r w:rsidRPr="00575105">
        <w:t>45–61.</w:t>
      </w:r>
    </w:p>
    <w:p w:rsidR="00575105" w:rsidRPr="00575105" w:rsidRDefault="00575105" w:rsidP="00575105">
      <w:r w:rsidRPr="00575105">
        <w:t xml:space="preserve">Hamilton, J. D. (1983). Oil and macro-economy since World War II. </w:t>
      </w:r>
      <w:r w:rsidRPr="00D16824">
        <w:rPr>
          <w:i/>
        </w:rPr>
        <w:t>Journal of Political Economy</w:t>
      </w:r>
      <w:r w:rsidRPr="00575105">
        <w:t>, 91</w:t>
      </w:r>
      <w:r w:rsidR="00C3562F">
        <w:t>:</w:t>
      </w:r>
      <w:r w:rsidRPr="00575105">
        <w:t xml:space="preserve"> 228–248.</w:t>
      </w:r>
    </w:p>
    <w:p w:rsidR="00575105" w:rsidRPr="00575105" w:rsidRDefault="00575105" w:rsidP="00575105">
      <w:r w:rsidRPr="00575105">
        <w:t xml:space="preserve">Hamilton, J. D. (1996). This is what happened to the oil price-macroeconomy relationship. </w:t>
      </w:r>
      <w:r w:rsidRPr="00D16824">
        <w:rPr>
          <w:i/>
        </w:rPr>
        <w:t>Journal of Monetary Economics</w:t>
      </w:r>
      <w:r w:rsidRPr="00575105">
        <w:t>, 38</w:t>
      </w:r>
      <w:r w:rsidR="00C3562F">
        <w:t>:</w:t>
      </w:r>
      <w:r>
        <w:t xml:space="preserve"> </w:t>
      </w:r>
      <w:r w:rsidRPr="00575105">
        <w:t>215–220.</w:t>
      </w:r>
    </w:p>
    <w:p w:rsidR="00575105" w:rsidRPr="00575105" w:rsidRDefault="00575105" w:rsidP="00575105">
      <w:r w:rsidRPr="00575105">
        <w:t xml:space="preserve">Hamilton, J. D. (2003). What is an oil shock? </w:t>
      </w:r>
      <w:r w:rsidRPr="00D16824">
        <w:rPr>
          <w:i/>
        </w:rPr>
        <w:t>Journal of Econometrics</w:t>
      </w:r>
      <w:r w:rsidRPr="00575105">
        <w:t>, 113</w:t>
      </w:r>
      <w:r w:rsidR="00C3562F">
        <w:t>:</w:t>
      </w:r>
      <w:r w:rsidRPr="00575105">
        <w:t xml:space="preserve"> 363–398.</w:t>
      </w:r>
    </w:p>
    <w:p w:rsidR="00575105" w:rsidRPr="00575105" w:rsidRDefault="00575105" w:rsidP="00575105">
      <w:r w:rsidRPr="00575105">
        <w:t xml:space="preserve">Hamilton, J. D., </w:t>
      </w:r>
      <w:r w:rsidR="00C225AC">
        <w:t>and</w:t>
      </w:r>
      <w:r w:rsidRPr="00575105">
        <w:t xml:space="preserve"> </w:t>
      </w:r>
      <w:r w:rsidR="00C3562F" w:rsidRPr="00575105">
        <w:t xml:space="preserve">A. M. </w:t>
      </w:r>
      <w:r w:rsidRPr="00575105">
        <w:t>Herrera (2004). Oil shocks and aggregate macroeconomic behavior: The role of monetary policy</w:t>
      </w:r>
      <w:r w:rsidRPr="00D16824">
        <w:rPr>
          <w:i/>
        </w:rPr>
        <w:t>. Journal of Money, Credit and Banking</w:t>
      </w:r>
      <w:r w:rsidRPr="00575105">
        <w:t>, 36</w:t>
      </w:r>
      <w:r w:rsidR="00C3562F">
        <w:t>:</w:t>
      </w:r>
      <w:r w:rsidRPr="00575105">
        <w:t xml:space="preserve"> 751–782.</w:t>
      </w:r>
    </w:p>
    <w:p w:rsidR="00575105" w:rsidRPr="00575105" w:rsidRDefault="00575105" w:rsidP="00575105">
      <w:r w:rsidRPr="00575105">
        <w:t xml:space="preserve">Hammoudeh, S., </w:t>
      </w:r>
      <w:r w:rsidR="00C225AC">
        <w:t>and</w:t>
      </w:r>
      <w:r w:rsidRPr="00575105">
        <w:t xml:space="preserve"> </w:t>
      </w:r>
      <w:r w:rsidR="00C3562F" w:rsidRPr="00575105">
        <w:t xml:space="preserve">E. </w:t>
      </w:r>
      <w:r w:rsidRPr="00575105">
        <w:t xml:space="preserve">Aleisa (2004). Dynamic relationship among GCC stock markets and NYMEX oil futures. </w:t>
      </w:r>
      <w:r w:rsidRPr="00D16824">
        <w:rPr>
          <w:i/>
        </w:rPr>
        <w:t>Contemporary Economic Policy</w:t>
      </w:r>
      <w:r w:rsidRPr="00575105">
        <w:t>, 22</w:t>
      </w:r>
      <w:r w:rsidR="00C3562F">
        <w:t>:</w:t>
      </w:r>
      <w:r w:rsidRPr="00575105">
        <w:t xml:space="preserve"> 250–269.</w:t>
      </w:r>
    </w:p>
    <w:p w:rsidR="00575105" w:rsidRPr="00575105" w:rsidRDefault="00575105" w:rsidP="00575105">
      <w:r w:rsidRPr="00575105">
        <w:t xml:space="preserve">Hammoudeh, S., </w:t>
      </w:r>
      <w:r w:rsidR="00C225AC">
        <w:t>and</w:t>
      </w:r>
      <w:r w:rsidRPr="00575105">
        <w:t xml:space="preserve"> </w:t>
      </w:r>
      <w:r w:rsidR="00C3562F" w:rsidRPr="00575105">
        <w:t xml:space="preserve">K. </w:t>
      </w:r>
      <w:r w:rsidRPr="00575105">
        <w:t xml:space="preserve">Choi (2006). Behavior of GCC stock markets and impacts of US oil and financial markets. </w:t>
      </w:r>
      <w:r w:rsidRPr="00D16824">
        <w:rPr>
          <w:i/>
        </w:rPr>
        <w:t>Research in International Business and Finance</w:t>
      </w:r>
      <w:r w:rsidRPr="00575105">
        <w:t>, 20</w:t>
      </w:r>
      <w:r w:rsidR="00C3562F">
        <w:t>:</w:t>
      </w:r>
      <w:r w:rsidRPr="00575105">
        <w:t xml:space="preserve"> 22–44.</w:t>
      </w:r>
    </w:p>
    <w:p w:rsidR="00575105" w:rsidRDefault="00575105" w:rsidP="00575105">
      <w:r w:rsidRPr="00575105">
        <w:t xml:space="preserve">Hammoudeh, S., </w:t>
      </w:r>
      <w:r w:rsidR="00C225AC">
        <w:t>and</w:t>
      </w:r>
      <w:r w:rsidRPr="00575105">
        <w:t xml:space="preserve"> </w:t>
      </w:r>
      <w:r w:rsidR="00C3562F" w:rsidRPr="00575105">
        <w:t xml:space="preserve">H. </w:t>
      </w:r>
      <w:r w:rsidRPr="00575105">
        <w:t xml:space="preserve">Li, (2005). Oil sensitivity and systematic risk in oil-sensitive stock indices. </w:t>
      </w:r>
      <w:r w:rsidRPr="00D16824">
        <w:rPr>
          <w:i/>
        </w:rPr>
        <w:t>Journal of Economics and Business</w:t>
      </w:r>
      <w:r w:rsidRPr="00575105">
        <w:t>, 57</w:t>
      </w:r>
      <w:r w:rsidR="00C3562F">
        <w:t>:</w:t>
      </w:r>
      <w:r>
        <w:t xml:space="preserve"> </w:t>
      </w:r>
      <w:r w:rsidRPr="00575105">
        <w:t>1–21.</w:t>
      </w:r>
    </w:p>
    <w:p w:rsidR="00AF51EB" w:rsidRPr="00AF51EB" w:rsidRDefault="00AF51EB" w:rsidP="00AF51EB">
      <w:r>
        <w:t xml:space="preserve">Harvey, </w:t>
      </w:r>
      <w:r w:rsidR="00C3562F">
        <w:t xml:space="preserve">C. </w:t>
      </w:r>
      <w:r>
        <w:t>R.</w:t>
      </w:r>
      <w:r w:rsidRPr="00AF51EB">
        <w:t xml:space="preserve"> </w:t>
      </w:r>
      <w:r>
        <w:t>(</w:t>
      </w:r>
      <w:r w:rsidRPr="00AF51EB">
        <w:t>1995a</w:t>
      </w:r>
      <w:r>
        <w:t>).</w:t>
      </w:r>
      <w:r w:rsidRPr="00AF51EB">
        <w:t xml:space="preserve"> Predictable risk and returns in emerging markets</w:t>
      </w:r>
      <w:r w:rsidR="00C3562F">
        <w:t>.</w:t>
      </w:r>
      <w:r w:rsidRPr="00AF51EB">
        <w:t xml:space="preserve"> </w:t>
      </w:r>
      <w:r w:rsidRPr="00AF51EB">
        <w:rPr>
          <w:i/>
          <w:iCs/>
        </w:rPr>
        <w:t>Review</w:t>
      </w:r>
      <w:r>
        <w:rPr>
          <w:i/>
          <w:iCs/>
        </w:rPr>
        <w:t xml:space="preserve"> </w:t>
      </w:r>
      <w:r w:rsidRPr="00AF51EB">
        <w:rPr>
          <w:i/>
          <w:iCs/>
        </w:rPr>
        <w:t>of Financial Studies</w:t>
      </w:r>
      <w:r w:rsidR="00C3562F">
        <w:rPr>
          <w:i/>
          <w:iCs/>
        </w:rPr>
        <w:t>,</w:t>
      </w:r>
      <w:r w:rsidRPr="00AF51EB">
        <w:rPr>
          <w:i/>
          <w:iCs/>
        </w:rPr>
        <w:t xml:space="preserve"> </w:t>
      </w:r>
      <w:r w:rsidRPr="00AF51EB">
        <w:t>8</w:t>
      </w:r>
      <w:r w:rsidR="00C3562F">
        <w:t>:</w:t>
      </w:r>
      <w:r w:rsidRPr="00AF51EB">
        <w:t xml:space="preserve"> 773</w:t>
      </w:r>
      <w:r w:rsidR="00C3562F">
        <w:t>–</w:t>
      </w:r>
      <w:r w:rsidRPr="00AF51EB">
        <w:t>816.</w:t>
      </w:r>
    </w:p>
    <w:p w:rsidR="00AF51EB" w:rsidRPr="00575105" w:rsidRDefault="00AF51EB" w:rsidP="00AF51EB">
      <w:r>
        <w:t xml:space="preserve">Harvey, </w:t>
      </w:r>
      <w:r w:rsidR="00C3562F">
        <w:t xml:space="preserve">C. </w:t>
      </w:r>
      <w:r>
        <w:t>R.</w:t>
      </w:r>
      <w:r w:rsidRPr="00AF51EB">
        <w:t xml:space="preserve"> </w:t>
      </w:r>
      <w:r>
        <w:t>(</w:t>
      </w:r>
      <w:r w:rsidRPr="00AF51EB">
        <w:t>1995b</w:t>
      </w:r>
      <w:r>
        <w:t xml:space="preserve">). </w:t>
      </w:r>
      <w:r w:rsidRPr="00AF51EB">
        <w:t>The risk exposure of emerging markets</w:t>
      </w:r>
      <w:r w:rsidR="00C3562F">
        <w:t>.</w:t>
      </w:r>
      <w:r w:rsidRPr="00AF51EB">
        <w:t xml:space="preserve"> </w:t>
      </w:r>
      <w:r w:rsidRPr="00AF51EB">
        <w:rPr>
          <w:i/>
          <w:iCs/>
        </w:rPr>
        <w:t>World Bank</w:t>
      </w:r>
      <w:r>
        <w:rPr>
          <w:i/>
          <w:iCs/>
        </w:rPr>
        <w:t xml:space="preserve"> </w:t>
      </w:r>
      <w:r w:rsidRPr="00AF51EB">
        <w:rPr>
          <w:i/>
          <w:iCs/>
        </w:rPr>
        <w:t>Economic Review</w:t>
      </w:r>
      <w:r w:rsidRPr="00AF51EB">
        <w:t>, 9</w:t>
      </w:r>
      <w:r w:rsidR="00C3562F">
        <w:t>:</w:t>
      </w:r>
      <w:r w:rsidRPr="00AF51EB">
        <w:t xml:space="preserve"> 19--50.</w:t>
      </w:r>
    </w:p>
    <w:p w:rsidR="00C62A66" w:rsidRDefault="00C62A66" w:rsidP="00575105">
      <w:r>
        <w:t xml:space="preserve">Hernandez, L., </w:t>
      </w:r>
      <w:r w:rsidR="00C3562F">
        <w:t xml:space="preserve">P. </w:t>
      </w:r>
      <w:r>
        <w:t xml:space="preserve">Mellado and R. Valdés (2001). Determinants of </w:t>
      </w:r>
      <w:r w:rsidR="00C3562F">
        <w:t>p</w:t>
      </w:r>
      <w:r>
        <w:t xml:space="preserve">rivate </w:t>
      </w:r>
      <w:r w:rsidR="00C3562F">
        <w:t>c</w:t>
      </w:r>
      <w:r>
        <w:t xml:space="preserve">apital </w:t>
      </w:r>
      <w:r w:rsidR="00C3562F">
        <w:t>f</w:t>
      </w:r>
      <w:r>
        <w:t xml:space="preserve">lows in the 1970s and 1990s: </w:t>
      </w:r>
      <w:r w:rsidR="00C3562F">
        <w:t>i</w:t>
      </w:r>
      <w:r>
        <w:t xml:space="preserve">s </w:t>
      </w:r>
      <w:r w:rsidR="00C3562F">
        <w:t>t</w:t>
      </w:r>
      <w:r>
        <w:t xml:space="preserve">here </w:t>
      </w:r>
      <w:r w:rsidR="00C3562F">
        <w:t>e</w:t>
      </w:r>
      <w:r>
        <w:t xml:space="preserve">vidence of </w:t>
      </w:r>
      <w:r w:rsidR="00C3562F">
        <w:t>c</w:t>
      </w:r>
      <w:r>
        <w:t xml:space="preserve">ontagion? Working Paper 64. </w:t>
      </w:r>
      <w:r w:rsidR="00C3562F">
        <w:t xml:space="preserve">(Washington: </w:t>
      </w:r>
      <w:r>
        <w:t>International Monetary Fund</w:t>
      </w:r>
      <w:r w:rsidR="00C3562F">
        <w:t>)</w:t>
      </w:r>
    </w:p>
    <w:p w:rsidR="00CC76A1" w:rsidRDefault="00CC76A1" w:rsidP="00CC76A1">
      <w:r w:rsidRPr="00CC76A1">
        <w:t>Hodrick, R. J., and E. C. Prescott</w:t>
      </w:r>
      <w:r>
        <w:t xml:space="preserve"> (1997).</w:t>
      </w:r>
      <w:r w:rsidRPr="00CC76A1">
        <w:t xml:space="preserve"> Postwar U.S. </w:t>
      </w:r>
      <w:r w:rsidR="00C3562F">
        <w:t>b</w:t>
      </w:r>
      <w:r w:rsidRPr="00CC76A1">
        <w:t xml:space="preserve">usiness </w:t>
      </w:r>
      <w:r w:rsidR="00C3562F">
        <w:t>c</w:t>
      </w:r>
      <w:r w:rsidRPr="00CC76A1">
        <w:t xml:space="preserve">ycles: </w:t>
      </w:r>
      <w:r w:rsidR="00C3562F">
        <w:t>a</w:t>
      </w:r>
      <w:r w:rsidRPr="00CC76A1">
        <w:t xml:space="preserve">n </w:t>
      </w:r>
      <w:r w:rsidR="00C3562F">
        <w:t>e</w:t>
      </w:r>
      <w:r w:rsidRPr="00CC76A1">
        <w:t>mpirical</w:t>
      </w:r>
      <w:r>
        <w:t xml:space="preserve"> </w:t>
      </w:r>
      <w:r w:rsidR="00C3562F">
        <w:t>i</w:t>
      </w:r>
      <w:r w:rsidRPr="00CC76A1">
        <w:t>nvestigation</w:t>
      </w:r>
      <w:r w:rsidR="00C3562F">
        <w:t>.</w:t>
      </w:r>
      <w:r w:rsidRPr="00CC76A1">
        <w:t xml:space="preserve"> </w:t>
      </w:r>
      <w:r w:rsidRPr="00CC76A1">
        <w:rPr>
          <w:i/>
          <w:iCs/>
        </w:rPr>
        <w:t>Journal of Money, Credit, and Banking</w:t>
      </w:r>
      <w:r w:rsidR="00C3562F">
        <w:rPr>
          <w:i/>
          <w:iCs/>
        </w:rPr>
        <w:t>,</w:t>
      </w:r>
      <w:r w:rsidRPr="00CC76A1">
        <w:rPr>
          <w:i/>
          <w:iCs/>
        </w:rPr>
        <w:t xml:space="preserve"> </w:t>
      </w:r>
      <w:r w:rsidRPr="00CC76A1">
        <w:t>29 (1</w:t>
      </w:r>
      <w:r>
        <w:t>)</w:t>
      </w:r>
      <w:r w:rsidR="00C3562F">
        <w:t>:</w:t>
      </w:r>
      <w:r w:rsidRPr="00CC76A1">
        <w:t xml:space="preserve"> 1</w:t>
      </w:r>
      <w:r w:rsidR="00C3562F">
        <w:t>–</w:t>
      </w:r>
      <w:r w:rsidRPr="00CC76A1">
        <w:t>16.</w:t>
      </w:r>
    </w:p>
    <w:p w:rsidR="00575105" w:rsidRDefault="00575105" w:rsidP="00575105">
      <w:r w:rsidRPr="00575105">
        <w:t>Huang, R.,</w:t>
      </w:r>
      <w:r w:rsidR="00C3562F">
        <w:t>R.</w:t>
      </w:r>
      <w:r w:rsidRPr="00575105">
        <w:t xml:space="preserve"> Masulis</w:t>
      </w:r>
      <w:r w:rsidR="00C3562F">
        <w:t xml:space="preserve"> </w:t>
      </w:r>
      <w:r w:rsidR="00C225AC">
        <w:t>and</w:t>
      </w:r>
      <w:r w:rsidRPr="00575105">
        <w:t xml:space="preserve"> </w:t>
      </w:r>
      <w:r w:rsidR="00C3562F">
        <w:t xml:space="preserve">H. </w:t>
      </w:r>
      <w:r w:rsidRPr="00575105">
        <w:t xml:space="preserve">Stoll (1996). Energy, shocks and financial market. </w:t>
      </w:r>
      <w:r w:rsidRPr="00D16824">
        <w:rPr>
          <w:i/>
        </w:rPr>
        <w:t>Journal of Futures Markets</w:t>
      </w:r>
      <w:r w:rsidRPr="00575105">
        <w:t>, 16</w:t>
      </w:r>
      <w:r w:rsidR="00C3562F">
        <w:t>:</w:t>
      </w:r>
      <w:r w:rsidRPr="00575105">
        <w:t xml:space="preserve"> 1–27.</w:t>
      </w:r>
    </w:p>
    <w:p w:rsidR="00090362" w:rsidRPr="00575105" w:rsidRDefault="00090362" w:rsidP="00090362">
      <w:r>
        <w:lastRenderedPageBreak/>
        <w:t xml:space="preserve">Imbs, J. (2006). The </w:t>
      </w:r>
      <w:r w:rsidR="00C3562F">
        <w:t>r</w:t>
      </w:r>
      <w:r>
        <w:t xml:space="preserve">eal </w:t>
      </w:r>
      <w:r w:rsidR="00C3562F">
        <w:t>e</w:t>
      </w:r>
      <w:r>
        <w:t>ff</w:t>
      </w:r>
      <w:r w:rsidRPr="00090362">
        <w:t xml:space="preserve">ects of </w:t>
      </w:r>
      <w:r w:rsidR="00C3562F">
        <w:t>f</w:t>
      </w:r>
      <w:r w:rsidRPr="00090362">
        <w:t xml:space="preserve">inancial </w:t>
      </w:r>
      <w:r w:rsidR="00C3562F">
        <w:t>i</w:t>
      </w:r>
      <w:r w:rsidRPr="00090362">
        <w:t>ntegration.</w:t>
      </w:r>
      <w:r w:rsidR="00C3562F">
        <w:t xml:space="preserve"> </w:t>
      </w:r>
      <w:r w:rsidRPr="00D16824">
        <w:rPr>
          <w:i/>
        </w:rPr>
        <w:t>Journal of International Economics</w:t>
      </w:r>
      <w:r w:rsidRPr="00090362">
        <w:t>,</w:t>
      </w:r>
      <w:r>
        <w:t xml:space="preserve"> 68(2): 296</w:t>
      </w:r>
      <w:r w:rsidR="00C3562F">
        <w:t>–</w:t>
      </w:r>
      <w:r w:rsidRPr="00090362">
        <w:t>324.</w:t>
      </w:r>
    </w:p>
    <w:p w:rsidR="002F1C3F" w:rsidRDefault="002F1C3F" w:rsidP="00575105">
      <w:pPr>
        <w:rPr>
          <w:rStyle w:val="referencetext"/>
        </w:rPr>
      </w:pPr>
      <w:r>
        <w:rPr>
          <w:rStyle w:val="referencetext"/>
        </w:rPr>
        <w:t xml:space="preserve">Johansen, S. (1988). Statistical analysis of cointegration vectors. </w:t>
      </w:r>
      <w:r>
        <w:rPr>
          <w:rStyle w:val="referencetext"/>
          <w:i/>
          <w:iCs/>
        </w:rPr>
        <w:t>Journal of Economic Dynamics and Control</w:t>
      </w:r>
      <w:r>
        <w:rPr>
          <w:rStyle w:val="referencetext"/>
        </w:rPr>
        <w:t xml:space="preserve">, </w:t>
      </w:r>
      <w:r w:rsidR="00E1141E" w:rsidRPr="00E1141E">
        <w:rPr>
          <w:rStyle w:val="Strong"/>
          <w:b w:val="0"/>
        </w:rPr>
        <w:t>12:</w:t>
      </w:r>
      <w:r>
        <w:rPr>
          <w:rStyle w:val="referencetext"/>
        </w:rPr>
        <w:t xml:space="preserve"> 231–254.</w:t>
      </w:r>
    </w:p>
    <w:p w:rsidR="002F1C3F" w:rsidRPr="00575105" w:rsidRDefault="002F1C3F" w:rsidP="00575105">
      <w:r>
        <w:rPr>
          <w:rStyle w:val="referencetext"/>
        </w:rPr>
        <w:t xml:space="preserve">Johansen, S. (1991). Estimation and hypothesis testing of cointegrating vectors in Gaussian autoregression models. </w:t>
      </w:r>
      <w:r>
        <w:rPr>
          <w:rStyle w:val="referencetext"/>
          <w:i/>
          <w:iCs/>
        </w:rPr>
        <w:t>Econometrica</w:t>
      </w:r>
      <w:r>
        <w:rPr>
          <w:rStyle w:val="referencetext"/>
        </w:rPr>
        <w:t xml:space="preserve">, </w:t>
      </w:r>
      <w:r w:rsidR="00E1141E" w:rsidRPr="00E1141E">
        <w:rPr>
          <w:rStyle w:val="Strong"/>
          <w:b w:val="0"/>
        </w:rPr>
        <w:t>59</w:t>
      </w:r>
      <w:r w:rsidR="00C3562F">
        <w:rPr>
          <w:rStyle w:val="Strong"/>
          <w:b w:val="0"/>
        </w:rPr>
        <w:t>:</w:t>
      </w:r>
      <w:r>
        <w:rPr>
          <w:rStyle w:val="referencetext"/>
        </w:rPr>
        <w:t xml:space="preserve"> 1551–1580.</w:t>
      </w:r>
    </w:p>
    <w:p w:rsidR="00575105" w:rsidRDefault="00575105" w:rsidP="00575105">
      <w:r w:rsidRPr="00575105">
        <w:t xml:space="preserve">Jones, C., </w:t>
      </w:r>
      <w:r w:rsidR="00C225AC">
        <w:t>and</w:t>
      </w:r>
      <w:r w:rsidRPr="00575105">
        <w:t xml:space="preserve"> </w:t>
      </w:r>
      <w:r w:rsidR="00C3562F" w:rsidRPr="00575105">
        <w:t>G.</w:t>
      </w:r>
      <w:r w:rsidRPr="00575105">
        <w:t xml:space="preserve">Kaul (1996). Oil and the stock markets. </w:t>
      </w:r>
      <w:r w:rsidRPr="004F6E7E">
        <w:rPr>
          <w:i/>
        </w:rPr>
        <w:t>Journal of Finance</w:t>
      </w:r>
      <w:r w:rsidRPr="00575105">
        <w:t>, 51</w:t>
      </w:r>
      <w:r w:rsidR="00C3562F">
        <w:t>:</w:t>
      </w:r>
      <w:r w:rsidRPr="00575105">
        <w:t xml:space="preserve"> 463–491.</w:t>
      </w:r>
    </w:p>
    <w:p w:rsidR="008F5B38" w:rsidRDefault="008F5B38" w:rsidP="008F5B38">
      <w:r>
        <w:t xml:space="preserve">Kalemli-Ozcan, S., E. Papaioannou, and J. L. Peydro (2011) Financial </w:t>
      </w:r>
      <w:r w:rsidR="00C3562F">
        <w:t>r</w:t>
      </w:r>
      <w:r>
        <w:t xml:space="preserve">egulation, </w:t>
      </w:r>
      <w:r w:rsidR="00C3562F">
        <w:t>f</w:t>
      </w:r>
      <w:r>
        <w:t xml:space="preserve">inancial </w:t>
      </w:r>
      <w:r w:rsidR="00C3562F">
        <w:t>g</w:t>
      </w:r>
      <w:r>
        <w:t xml:space="preserve">lobalization and the </w:t>
      </w:r>
      <w:r w:rsidR="00C3562F">
        <w:t>s</w:t>
      </w:r>
      <w:r>
        <w:t xml:space="preserve">ynchronization of </w:t>
      </w:r>
      <w:r w:rsidR="00C3562F">
        <w:t>e</w:t>
      </w:r>
      <w:r>
        <w:t xml:space="preserve">conomic </w:t>
      </w:r>
      <w:r w:rsidR="00C3562F">
        <w:t>a</w:t>
      </w:r>
      <w:r>
        <w:t xml:space="preserve">ctivity. NBER </w:t>
      </w:r>
      <w:r w:rsidR="00C3562F">
        <w:t>W</w:t>
      </w:r>
      <w:r>
        <w:t xml:space="preserve">orking </w:t>
      </w:r>
      <w:r w:rsidR="00C3562F">
        <w:t>P</w:t>
      </w:r>
      <w:r>
        <w:t>aper 14887, under revision for Journal of Finance.</w:t>
      </w:r>
    </w:p>
    <w:p w:rsidR="00575105" w:rsidRPr="00575105" w:rsidRDefault="00575105" w:rsidP="00575105">
      <w:r w:rsidRPr="00575105">
        <w:t xml:space="preserve">Kaneko, T., </w:t>
      </w:r>
      <w:r w:rsidR="00C225AC">
        <w:t>and</w:t>
      </w:r>
      <w:r w:rsidRPr="00575105">
        <w:t xml:space="preserve"> </w:t>
      </w:r>
      <w:r w:rsidR="00C3562F" w:rsidRPr="00575105">
        <w:t xml:space="preserve">B. S. </w:t>
      </w:r>
      <w:r w:rsidRPr="00575105">
        <w:t xml:space="preserve">Lee (1995). Relative importance of economic factors in the U.S. and Japanese stock markets. </w:t>
      </w:r>
      <w:r w:rsidRPr="004F6E7E">
        <w:rPr>
          <w:i/>
        </w:rPr>
        <w:t>Journal of the Japanese and International Economies</w:t>
      </w:r>
      <w:r w:rsidRPr="00575105">
        <w:t>, 9</w:t>
      </w:r>
      <w:r w:rsidR="00C3562F">
        <w:t>:</w:t>
      </w:r>
      <w:r w:rsidRPr="00575105">
        <w:t xml:space="preserve"> 290–307.</w:t>
      </w:r>
    </w:p>
    <w:p w:rsidR="00575105" w:rsidRPr="00575105" w:rsidRDefault="00575105" w:rsidP="00575105">
      <w:r w:rsidRPr="00575105">
        <w:t xml:space="preserve">Kilian, L. (2008a). The economic effects of energy price shocks. </w:t>
      </w:r>
      <w:r w:rsidRPr="004F6E7E">
        <w:rPr>
          <w:i/>
        </w:rPr>
        <w:t>Journal of Economic Literature</w:t>
      </w:r>
      <w:r w:rsidRPr="00575105">
        <w:t>, 46</w:t>
      </w:r>
      <w:r w:rsidR="00C3562F">
        <w:t>:</w:t>
      </w:r>
      <w:r w:rsidRPr="00575105">
        <w:t xml:space="preserve"> 871–1009.</w:t>
      </w:r>
    </w:p>
    <w:p w:rsidR="00575105" w:rsidRPr="00575105" w:rsidRDefault="00575105" w:rsidP="00575105">
      <w:r w:rsidRPr="00575105">
        <w:t xml:space="preserve">Kilian, L. (2008b). Exogenous oil supply shocks: </w:t>
      </w:r>
      <w:r w:rsidR="00C3562F">
        <w:t>h</w:t>
      </w:r>
      <w:r w:rsidRPr="00575105">
        <w:t xml:space="preserve">ow big are they and how much do they matter for the U.S. economy? </w:t>
      </w:r>
      <w:r w:rsidRPr="004F6E7E">
        <w:rPr>
          <w:i/>
        </w:rPr>
        <w:t>Review of Economics and Statistics</w:t>
      </w:r>
      <w:r w:rsidRPr="00575105">
        <w:t>, 90</w:t>
      </w:r>
      <w:r w:rsidR="00C3562F">
        <w:t>:</w:t>
      </w:r>
      <w:r w:rsidRPr="00575105">
        <w:t xml:space="preserve"> 216–240.</w:t>
      </w:r>
    </w:p>
    <w:p w:rsidR="00C3562F" w:rsidRPr="00575105" w:rsidRDefault="00C3562F" w:rsidP="00C3562F">
      <w:r w:rsidRPr="00575105">
        <w:t xml:space="preserve">Kilian, L. (2009). Not all oil price shocks are alike: </w:t>
      </w:r>
      <w:r>
        <w:t>d</w:t>
      </w:r>
      <w:r w:rsidRPr="00575105">
        <w:t xml:space="preserve">isentangling demand and supply shocks in the crude oil market. </w:t>
      </w:r>
      <w:r w:rsidRPr="004F6E7E">
        <w:rPr>
          <w:i/>
        </w:rPr>
        <w:t>American Economic Review</w:t>
      </w:r>
      <w:r w:rsidRPr="00575105">
        <w:t>, 99</w:t>
      </w:r>
      <w:r>
        <w:t>:</w:t>
      </w:r>
      <w:r w:rsidRPr="00575105">
        <w:t xml:space="preserve"> 1053–1069.</w:t>
      </w:r>
    </w:p>
    <w:p w:rsidR="00575105" w:rsidRDefault="00575105" w:rsidP="00575105">
      <w:r w:rsidRPr="00575105">
        <w:t xml:space="preserve">Kilian, L., </w:t>
      </w:r>
      <w:r w:rsidR="00C225AC">
        <w:t>and</w:t>
      </w:r>
      <w:r w:rsidRPr="00575105">
        <w:t xml:space="preserve"> </w:t>
      </w:r>
      <w:r w:rsidR="00C3562F">
        <w:t xml:space="preserve">C. </w:t>
      </w:r>
      <w:r w:rsidRPr="00575105">
        <w:t xml:space="preserve">Park (2009). The impact of oil prices shocks and the U.S. stock market. </w:t>
      </w:r>
      <w:r w:rsidRPr="004F6E7E">
        <w:rPr>
          <w:i/>
        </w:rPr>
        <w:t>International Economic Review</w:t>
      </w:r>
      <w:r w:rsidRPr="00575105">
        <w:t>, 50</w:t>
      </w:r>
      <w:r w:rsidR="00C3562F">
        <w:t>:</w:t>
      </w:r>
      <w:r w:rsidRPr="00575105">
        <w:t xml:space="preserve"> 1267–1287.</w:t>
      </w:r>
    </w:p>
    <w:p w:rsidR="001E09F8" w:rsidRDefault="001E09F8" w:rsidP="00575105">
      <w:r w:rsidRPr="001E09F8">
        <w:t>Kim, C.-J.</w:t>
      </w:r>
      <w:r w:rsidR="00C3562F">
        <w:t>, and M.-J.</w:t>
      </w:r>
      <w:r w:rsidRPr="001E09F8">
        <w:t xml:space="preserve"> Kim</w:t>
      </w:r>
      <w:r w:rsidR="00C3562F">
        <w:t xml:space="preserve"> (</w:t>
      </w:r>
      <w:r w:rsidRPr="001E09F8">
        <w:t>1996</w:t>
      </w:r>
      <w:r w:rsidR="00C3562F">
        <w:t>)</w:t>
      </w:r>
      <w:r w:rsidRPr="001E09F8">
        <w:t xml:space="preserve">. Transient fads and the crash of ’87. </w:t>
      </w:r>
      <w:r w:rsidRPr="004F6E7E">
        <w:rPr>
          <w:i/>
        </w:rPr>
        <w:t>Journal of Applied Econometrics</w:t>
      </w:r>
      <w:r w:rsidR="00C3562F">
        <w:rPr>
          <w:i/>
        </w:rPr>
        <w:t>,</w:t>
      </w:r>
      <w:r w:rsidRPr="001E09F8">
        <w:t xml:space="preserve"> 11</w:t>
      </w:r>
      <w:r w:rsidR="00C3562F">
        <w:t>:</w:t>
      </w:r>
      <w:r w:rsidRPr="001E09F8">
        <w:t xml:space="preserve"> 41–58.</w:t>
      </w:r>
    </w:p>
    <w:p w:rsidR="002F1B4B" w:rsidRPr="00575105" w:rsidRDefault="002F1B4B" w:rsidP="002F1B4B">
      <w:r w:rsidRPr="002F1B4B">
        <w:t>King</w:t>
      </w:r>
      <w:r w:rsidR="003634EB">
        <w:t>,</w:t>
      </w:r>
      <w:r w:rsidRPr="002F1B4B">
        <w:t xml:space="preserve"> M</w:t>
      </w:r>
      <w:r w:rsidR="003634EB">
        <w:t>.</w:t>
      </w:r>
      <w:r w:rsidRPr="002F1B4B">
        <w:t xml:space="preserve">, </w:t>
      </w:r>
      <w:r w:rsidR="003634EB">
        <w:t xml:space="preserve">E. </w:t>
      </w:r>
      <w:r w:rsidRPr="002F1B4B">
        <w:t xml:space="preserve">Sentana </w:t>
      </w:r>
      <w:r w:rsidR="00C225AC">
        <w:t>and</w:t>
      </w:r>
      <w:r>
        <w:t xml:space="preserve"> </w:t>
      </w:r>
      <w:r w:rsidR="003634EB">
        <w:t xml:space="preserve">S. </w:t>
      </w:r>
      <w:r w:rsidRPr="002F1B4B">
        <w:t xml:space="preserve">Wadhwani </w:t>
      </w:r>
      <w:r>
        <w:t>(</w:t>
      </w:r>
      <w:r w:rsidRPr="002F1B4B">
        <w:t>1994</w:t>
      </w:r>
      <w:r>
        <w:t>)</w:t>
      </w:r>
      <w:r w:rsidRPr="002F1B4B">
        <w:t>. Volatility and links between national stock</w:t>
      </w:r>
      <w:r>
        <w:t xml:space="preserve"> markets. </w:t>
      </w:r>
      <w:r w:rsidRPr="002F1B4B">
        <w:rPr>
          <w:i/>
          <w:iCs/>
        </w:rPr>
        <w:t>Econometrica</w:t>
      </w:r>
      <w:r w:rsidR="003634EB">
        <w:rPr>
          <w:i/>
          <w:iCs/>
        </w:rPr>
        <w:t xml:space="preserve">, </w:t>
      </w:r>
      <w:r w:rsidR="00E1141E" w:rsidRPr="00E1141E">
        <w:rPr>
          <w:bCs/>
        </w:rPr>
        <w:t>62</w:t>
      </w:r>
      <w:r w:rsidRPr="002F1B4B">
        <w:t>: 901–933.</w:t>
      </w:r>
    </w:p>
    <w:p w:rsidR="003D323F" w:rsidRPr="001E3193" w:rsidRDefault="003D323F" w:rsidP="003D323F">
      <w:r w:rsidRPr="001E3193">
        <w:t xml:space="preserve">Krolzig, </w:t>
      </w:r>
      <w:r w:rsidR="003634EB" w:rsidRPr="001E3193">
        <w:t>H</w:t>
      </w:r>
      <w:r w:rsidR="003634EB">
        <w:t>.</w:t>
      </w:r>
      <w:r w:rsidRPr="001E3193">
        <w:t>-</w:t>
      </w:r>
      <w:r w:rsidR="003634EB" w:rsidRPr="001E3193">
        <w:t>M</w:t>
      </w:r>
      <w:r w:rsidR="003634EB">
        <w:t>.</w:t>
      </w:r>
      <w:r w:rsidR="003634EB" w:rsidRPr="001E3193">
        <w:t xml:space="preserve"> </w:t>
      </w:r>
      <w:r w:rsidRPr="001E3193">
        <w:t xml:space="preserve">(1997a). </w:t>
      </w:r>
      <w:r w:rsidRPr="00AF2DA4">
        <w:rPr>
          <w:i/>
        </w:rPr>
        <w:t>Markov-Switching Vector Autoregressions: Modelling, Statistical Inference, and Application to Business Cycle Analysis</w:t>
      </w:r>
      <w:r w:rsidRPr="001E3193">
        <w:t>. Springer-Verlag.</w:t>
      </w:r>
    </w:p>
    <w:p w:rsidR="003D323F" w:rsidRDefault="003D323F" w:rsidP="003D323F">
      <w:r w:rsidRPr="001E3193">
        <w:t xml:space="preserve">Krolzig, Hans-Martin (1997b). International </w:t>
      </w:r>
      <w:r w:rsidR="003634EB">
        <w:t>b</w:t>
      </w:r>
      <w:r w:rsidRPr="001E3193">
        <w:t xml:space="preserve">usiness </w:t>
      </w:r>
      <w:r w:rsidR="003634EB">
        <w:t>c</w:t>
      </w:r>
      <w:r w:rsidRPr="001E3193">
        <w:t xml:space="preserve">ycles: </w:t>
      </w:r>
      <w:r w:rsidR="003634EB">
        <w:t>r</w:t>
      </w:r>
      <w:r w:rsidRPr="001E3193">
        <w:t>egime</w:t>
      </w:r>
      <w:r>
        <w:t xml:space="preserve"> </w:t>
      </w:r>
      <w:r w:rsidR="003634EB">
        <w:t>s</w:t>
      </w:r>
      <w:r w:rsidRPr="001E3193">
        <w:t xml:space="preserve">hifts in the </w:t>
      </w:r>
      <w:r w:rsidR="003634EB">
        <w:t>s</w:t>
      </w:r>
      <w:r w:rsidRPr="001E3193">
        <w:t xml:space="preserve">tochastic </w:t>
      </w:r>
      <w:r w:rsidR="003634EB">
        <w:t>p</w:t>
      </w:r>
      <w:r w:rsidRPr="001E3193">
        <w:t xml:space="preserve">rocess of </w:t>
      </w:r>
      <w:r w:rsidR="003634EB">
        <w:t>e</w:t>
      </w:r>
      <w:r w:rsidRPr="001E3193">
        <w:t xml:space="preserve">conomic </w:t>
      </w:r>
      <w:r w:rsidR="003634EB">
        <w:t>g</w:t>
      </w:r>
      <w:r w:rsidRPr="001E3193">
        <w:t xml:space="preserve">rowth. </w:t>
      </w:r>
      <w:r w:rsidR="00E1141E" w:rsidRPr="00E1141E">
        <w:rPr>
          <w:i/>
        </w:rPr>
        <w:t>Applied Economics Discussion Paper 194</w:t>
      </w:r>
      <w:r w:rsidR="003634EB">
        <w:t>.</w:t>
      </w:r>
      <w:r w:rsidRPr="001E3193">
        <w:t xml:space="preserve"> </w:t>
      </w:r>
      <w:r w:rsidR="003634EB">
        <w:t xml:space="preserve">(Oxford, UK: </w:t>
      </w:r>
      <w:r w:rsidR="003634EB" w:rsidRPr="001E3193">
        <w:t xml:space="preserve">Oxford </w:t>
      </w:r>
      <w:r w:rsidRPr="001E3193">
        <w:t xml:space="preserve">University </w:t>
      </w:r>
      <w:r w:rsidR="003634EB">
        <w:t>Press)</w:t>
      </w:r>
    </w:p>
    <w:p w:rsidR="003D323F" w:rsidRDefault="003D323F" w:rsidP="005E6E47">
      <w:pPr>
        <w:outlineLvl w:val="0"/>
      </w:pPr>
      <w:r>
        <w:t>Krolzig, H</w:t>
      </w:r>
      <w:r w:rsidR="003634EB">
        <w:t>.</w:t>
      </w:r>
      <w:r>
        <w:t>-M</w:t>
      </w:r>
      <w:r w:rsidR="003634EB">
        <w:t>.</w:t>
      </w:r>
      <w:r>
        <w:t xml:space="preserve"> (2005</w:t>
      </w:r>
      <w:r w:rsidRPr="00254636">
        <w:t>)</w:t>
      </w:r>
      <w:r>
        <w:t>. MSVAR 1.32 for OX 3.4</w:t>
      </w:r>
      <w:r w:rsidRPr="00254636">
        <w:t>.</w:t>
      </w:r>
      <w:r>
        <w:t xml:space="preserve"> </w:t>
      </w:r>
      <w:hyperlink r:id="rId10" w:history="1">
        <w:r w:rsidRPr="00697623">
          <w:rPr>
            <w:rStyle w:val="Hyperlink"/>
          </w:rPr>
          <w:t>http://www.economics.ox.ac.uk/research/kr</w:t>
        </w:r>
      </w:hyperlink>
      <w:r w:rsidR="00535159">
        <w:t xml:space="preserve">, </w:t>
      </w:r>
      <w:r w:rsidR="00481DC6">
        <w:t>A</w:t>
      </w:r>
      <w:r w:rsidR="00535159">
        <w:t>ccessed</w:t>
      </w:r>
      <w:r w:rsidR="00481DC6">
        <w:t xml:space="preserve"> January 15, 2006</w:t>
      </w:r>
      <w:r w:rsidR="003634EB">
        <w:t>.</w:t>
      </w:r>
    </w:p>
    <w:p w:rsidR="003D323F" w:rsidRDefault="003D323F" w:rsidP="00575105">
      <w:r w:rsidRPr="001E3193">
        <w:t xml:space="preserve">Krolzig, H-M and M. Sensier (2000). A </w:t>
      </w:r>
      <w:r w:rsidR="003634EB">
        <w:t>d</w:t>
      </w:r>
      <w:r w:rsidRPr="001E3193">
        <w:t>isaggregated Markov-</w:t>
      </w:r>
      <w:r>
        <w:t>s</w:t>
      </w:r>
      <w:r w:rsidRPr="001E3193">
        <w:t xml:space="preserve">witching </w:t>
      </w:r>
      <w:r w:rsidR="003634EB">
        <w:t>m</w:t>
      </w:r>
      <w:r w:rsidRPr="001E3193">
        <w:t xml:space="preserve">odel of the </w:t>
      </w:r>
      <w:r w:rsidR="003634EB">
        <w:t>b</w:t>
      </w:r>
      <w:r w:rsidRPr="001E3193">
        <w:t xml:space="preserve">usiness </w:t>
      </w:r>
      <w:r w:rsidR="003634EB">
        <w:t>c</w:t>
      </w:r>
      <w:r w:rsidRPr="001E3193">
        <w:t xml:space="preserve">ycle in UK </w:t>
      </w:r>
      <w:r w:rsidR="003634EB">
        <w:t>m</w:t>
      </w:r>
      <w:r w:rsidRPr="001E3193">
        <w:t xml:space="preserve">anufacturing. </w:t>
      </w:r>
      <w:r w:rsidRPr="004F6E7E">
        <w:rPr>
          <w:i/>
        </w:rPr>
        <w:t>The Manchester School</w:t>
      </w:r>
      <w:r w:rsidR="003634EB">
        <w:rPr>
          <w:i/>
        </w:rPr>
        <w:t>,</w:t>
      </w:r>
      <w:r w:rsidRPr="003634EB">
        <w:t xml:space="preserve"> </w:t>
      </w:r>
      <w:r w:rsidR="00E1141E" w:rsidRPr="00E1141E">
        <w:t>68</w:t>
      </w:r>
      <w:r w:rsidRPr="001E3193">
        <w:t>(4)</w:t>
      </w:r>
      <w:r w:rsidR="003634EB">
        <w:t>:</w:t>
      </w:r>
      <w:r w:rsidRPr="001E3193">
        <w:t xml:space="preserve"> 442</w:t>
      </w:r>
      <w:r w:rsidR="003634EB">
        <w:t>–</w:t>
      </w:r>
      <w:r w:rsidRPr="001E3193">
        <w:t>460</w:t>
      </w:r>
      <w:r>
        <w:t xml:space="preserve">. </w:t>
      </w:r>
    </w:p>
    <w:p w:rsidR="00114985" w:rsidRDefault="00114985" w:rsidP="00575105">
      <w:r>
        <w:lastRenderedPageBreak/>
        <w:t>Maghyereh, A., A. Al-Kandari (2007). Oil prices and stock markets in GCC countries: new evidence from nonlinear cointegration analysis</w:t>
      </w:r>
      <w:r w:rsidR="003634EB">
        <w:t>.</w:t>
      </w:r>
      <w:r>
        <w:t xml:space="preserve"> </w:t>
      </w:r>
      <w:r w:rsidRPr="004F6E7E">
        <w:rPr>
          <w:i/>
        </w:rPr>
        <w:t>Managerial Finance</w:t>
      </w:r>
      <w:r>
        <w:t xml:space="preserve">, 33 </w:t>
      </w:r>
      <w:r w:rsidR="003634EB">
        <w:t>(</w:t>
      </w:r>
      <w:r>
        <w:t>7</w:t>
      </w:r>
      <w:r w:rsidR="003634EB">
        <w:t>):</w:t>
      </w:r>
      <w:r w:rsidR="003634EB" w:rsidDel="003634EB">
        <w:t xml:space="preserve"> </w:t>
      </w:r>
      <w:r>
        <w:t>449</w:t>
      </w:r>
      <w:r w:rsidR="0034422B">
        <w:t>–</w:t>
      </w:r>
      <w:r>
        <w:t>460</w:t>
      </w:r>
      <w:r w:rsidR="0034422B">
        <w:t>.</w:t>
      </w:r>
    </w:p>
    <w:p w:rsidR="005346B3" w:rsidRPr="005346B3" w:rsidRDefault="005346B3" w:rsidP="005346B3">
      <w:r w:rsidRPr="005346B3">
        <w:t xml:space="preserve">Masson, P. </w:t>
      </w:r>
      <w:r w:rsidR="003634EB">
        <w:t>(</w:t>
      </w:r>
      <w:r w:rsidRPr="005346B3">
        <w:t>1999a</w:t>
      </w:r>
      <w:r w:rsidR="003634EB">
        <w:t>)</w:t>
      </w:r>
      <w:r w:rsidRPr="005346B3">
        <w:t>.</w:t>
      </w:r>
      <w:r w:rsidR="003634EB">
        <w:t xml:space="preserve"> </w:t>
      </w:r>
      <w:r w:rsidRPr="005346B3">
        <w:t xml:space="preserve">Contagion: </w:t>
      </w:r>
      <w:r w:rsidR="003634EB">
        <w:t>m</w:t>
      </w:r>
      <w:r w:rsidRPr="005346B3">
        <w:t xml:space="preserve">acroeconomic </w:t>
      </w:r>
      <w:r w:rsidR="003634EB">
        <w:t>m</w:t>
      </w:r>
      <w:r w:rsidRPr="005346B3">
        <w:t xml:space="preserve">odels with </w:t>
      </w:r>
      <w:r w:rsidR="003634EB">
        <w:t>m</w:t>
      </w:r>
      <w:r w:rsidRPr="005346B3">
        <w:t xml:space="preserve">ultiple </w:t>
      </w:r>
      <w:r w:rsidR="003634EB">
        <w:t>e</w:t>
      </w:r>
      <w:r w:rsidRPr="005346B3">
        <w:t>quilibria</w:t>
      </w:r>
      <w:r w:rsidR="003634EB">
        <w:t>.</w:t>
      </w:r>
      <w:r>
        <w:t xml:space="preserve"> </w:t>
      </w:r>
      <w:r w:rsidRPr="005346B3">
        <w:rPr>
          <w:i/>
          <w:iCs/>
        </w:rPr>
        <w:t>Journal of International Money and Finance</w:t>
      </w:r>
      <w:r w:rsidR="003634EB">
        <w:rPr>
          <w:i/>
          <w:iCs/>
        </w:rPr>
        <w:t>,</w:t>
      </w:r>
      <w:r w:rsidRPr="005346B3">
        <w:rPr>
          <w:i/>
          <w:iCs/>
        </w:rPr>
        <w:t xml:space="preserve"> </w:t>
      </w:r>
      <w:r w:rsidRPr="005346B3">
        <w:t>18</w:t>
      </w:r>
      <w:r w:rsidR="003634EB">
        <w:t>:</w:t>
      </w:r>
      <w:r w:rsidRPr="005346B3">
        <w:t xml:space="preserve"> 587</w:t>
      </w:r>
      <w:r w:rsidR="003634EB">
        <w:t>–</w:t>
      </w:r>
      <w:r w:rsidRPr="005346B3">
        <w:t>602.</w:t>
      </w:r>
    </w:p>
    <w:p w:rsidR="005346B3" w:rsidRPr="005346B3" w:rsidRDefault="005346B3" w:rsidP="005346B3">
      <w:r w:rsidRPr="005346B3">
        <w:t xml:space="preserve">Masson, P. </w:t>
      </w:r>
      <w:r w:rsidR="003634EB">
        <w:t>(</w:t>
      </w:r>
      <w:r w:rsidRPr="005346B3">
        <w:t>1999b</w:t>
      </w:r>
      <w:r w:rsidR="003634EB">
        <w:t>)</w:t>
      </w:r>
      <w:r w:rsidRPr="005346B3">
        <w:t xml:space="preserve">. Contagion: </w:t>
      </w:r>
      <w:r w:rsidR="003634EB">
        <w:t>m</w:t>
      </w:r>
      <w:r w:rsidRPr="005346B3">
        <w:t xml:space="preserve">onsoonal </w:t>
      </w:r>
      <w:r w:rsidR="003634EB">
        <w:t>e</w:t>
      </w:r>
      <w:r w:rsidRPr="005346B3">
        <w:t xml:space="preserve">ffects, </w:t>
      </w:r>
      <w:r w:rsidR="003634EB">
        <w:t>s</w:t>
      </w:r>
      <w:r w:rsidRPr="005346B3">
        <w:t xml:space="preserve">pillovers, and </w:t>
      </w:r>
      <w:r w:rsidR="003634EB">
        <w:t>j</w:t>
      </w:r>
      <w:r w:rsidRPr="005346B3">
        <w:t xml:space="preserve">umps </w:t>
      </w:r>
      <w:r w:rsidR="003634EB">
        <w:t>b</w:t>
      </w:r>
      <w:r w:rsidRPr="005346B3">
        <w:t>etween</w:t>
      </w:r>
      <w:r>
        <w:t xml:space="preserve"> </w:t>
      </w:r>
      <w:r w:rsidR="003634EB">
        <w:t>m</w:t>
      </w:r>
      <w:r w:rsidRPr="005346B3">
        <w:t xml:space="preserve">ultiple </w:t>
      </w:r>
      <w:r w:rsidR="003634EB">
        <w:t>e</w:t>
      </w:r>
      <w:r w:rsidRPr="005346B3">
        <w:t>quilibria</w:t>
      </w:r>
      <w:r w:rsidR="003634EB">
        <w:t>.</w:t>
      </w:r>
      <w:r w:rsidRPr="005346B3">
        <w:t xml:space="preserve"> </w:t>
      </w:r>
      <w:r w:rsidR="003634EB">
        <w:t>I</w:t>
      </w:r>
      <w:r w:rsidRPr="005346B3">
        <w:t>n Agenor, P.R., Miller, M., Vines, D. and Weber, A.</w:t>
      </w:r>
      <w:r>
        <w:t xml:space="preserve"> </w:t>
      </w:r>
      <w:r w:rsidRPr="005346B3">
        <w:t xml:space="preserve">(eds.), </w:t>
      </w:r>
      <w:r w:rsidRPr="005346B3">
        <w:rPr>
          <w:i/>
          <w:iCs/>
        </w:rPr>
        <w:t>The Asian Financial Crisis: Causes, Contagion and Consequences</w:t>
      </w:r>
      <w:r w:rsidR="003634EB">
        <w:rPr>
          <w:i/>
          <w:iCs/>
        </w:rPr>
        <w:t xml:space="preserve"> </w:t>
      </w:r>
      <w:r w:rsidR="00E1141E" w:rsidRPr="00E1141E">
        <w:rPr>
          <w:iCs/>
        </w:rPr>
        <w:t>(</w:t>
      </w:r>
      <w:r w:rsidRPr="005346B3">
        <w:t>Cambridge ,UK: Cambridge University Press</w:t>
      </w:r>
      <w:r w:rsidR="003634EB">
        <w:t>).</w:t>
      </w:r>
    </w:p>
    <w:p w:rsidR="005346B3" w:rsidRDefault="005346B3" w:rsidP="005346B3">
      <w:r w:rsidRPr="005346B3">
        <w:t xml:space="preserve">Masson, P. </w:t>
      </w:r>
      <w:r w:rsidR="003634EB">
        <w:t>(</w:t>
      </w:r>
      <w:r w:rsidRPr="005346B3">
        <w:t>1999c</w:t>
      </w:r>
      <w:r w:rsidR="003634EB">
        <w:t>)</w:t>
      </w:r>
      <w:r w:rsidRPr="005346B3">
        <w:t xml:space="preserve">. </w:t>
      </w:r>
      <w:r w:rsidR="00E1141E" w:rsidRPr="00E1141E">
        <w:rPr>
          <w:i/>
        </w:rPr>
        <w:t>Multiple equilibria, contagion and the emerging market crises.</w:t>
      </w:r>
      <w:r>
        <w:t xml:space="preserve"> </w:t>
      </w:r>
      <w:r w:rsidR="00E1141E" w:rsidRPr="00E1141E">
        <w:rPr>
          <w:iCs/>
        </w:rPr>
        <w:t>IMF Working Paper</w:t>
      </w:r>
      <w:r w:rsidRPr="005346B3">
        <w:rPr>
          <w:i/>
          <w:iCs/>
        </w:rPr>
        <w:t xml:space="preserve"> </w:t>
      </w:r>
      <w:r w:rsidRPr="005346B3">
        <w:t>99/164.</w:t>
      </w:r>
      <w:r w:rsidR="003634EB">
        <w:t xml:space="preserve"> (Washington: International Monetary Fund).</w:t>
      </w:r>
    </w:p>
    <w:p w:rsidR="009A68B6" w:rsidRPr="00575105" w:rsidRDefault="009A68B6" w:rsidP="009A68B6">
      <w:r w:rsidRPr="009A68B6">
        <w:t xml:space="preserve">Mink, M., </w:t>
      </w:r>
      <w:r w:rsidR="003634EB">
        <w:t xml:space="preserve">J. </w:t>
      </w:r>
      <w:r w:rsidRPr="009A68B6">
        <w:t xml:space="preserve">Jacobs and </w:t>
      </w:r>
      <w:r w:rsidR="003634EB">
        <w:t xml:space="preserve">J. </w:t>
      </w:r>
      <w:r w:rsidRPr="009A68B6">
        <w:t xml:space="preserve">de Haan (2007). </w:t>
      </w:r>
      <w:r w:rsidR="00E1141E" w:rsidRPr="00E1141E">
        <w:rPr>
          <w:i/>
        </w:rPr>
        <w:t xml:space="preserve">Measuring synchronicity and comovement of business cycles with an application to the Euro area. </w:t>
      </w:r>
      <w:r w:rsidRPr="009A68B6">
        <w:t>CESifo Working Paper 2112</w:t>
      </w:r>
      <w:r w:rsidR="00535159">
        <w:t>, Munich, Germany</w:t>
      </w:r>
      <w:r w:rsidRPr="009A68B6">
        <w:t>.</w:t>
      </w:r>
    </w:p>
    <w:p w:rsidR="00575105" w:rsidRDefault="00575105" w:rsidP="00575105">
      <w:r w:rsidRPr="00575105">
        <w:t xml:space="preserve">Mohanty, S., </w:t>
      </w:r>
      <w:r w:rsidR="00C225AC">
        <w:t>and</w:t>
      </w:r>
      <w:r w:rsidRPr="00575105">
        <w:t xml:space="preserve"> </w:t>
      </w:r>
      <w:r w:rsidR="003634EB">
        <w:t xml:space="preserve">M. </w:t>
      </w:r>
      <w:r w:rsidRPr="00575105">
        <w:t xml:space="preserve">Nandha (2011). On oil risk exposure: </w:t>
      </w:r>
      <w:r w:rsidR="003634EB">
        <w:t>t</w:t>
      </w:r>
      <w:r w:rsidRPr="00575105">
        <w:t xml:space="preserve">he case of the U.S. oil and gas sector. </w:t>
      </w:r>
      <w:r w:rsidRPr="004F6E7E">
        <w:rPr>
          <w:i/>
        </w:rPr>
        <w:t>Financial Review</w:t>
      </w:r>
      <w:r w:rsidRPr="00575105">
        <w:t>, 46</w:t>
      </w:r>
      <w:r w:rsidR="003634EB">
        <w:t>:</w:t>
      </w:r>
      <w:r w:rsidRPr="00575105">
        <w:t xml:space="preserve"> 165–191.</w:t>
      </w:r>
    </w:p>
    <w:p w:rsidR="00FA1A9F" w:rsidRDefault="00FA1A9F" w:rsidP="00FA1A9F">
      <w:r>
        <w:t>Mohanty, S. K., M. Nandha, A. Q. Turkistani</w:t>
      </w:r>
      <w:r w:rsidR="003634EB">
        <w:t xml:space="preserve"> and</w:t>
      </w:r>
      <w:r>
        <w:t xml:space="preserve"> M.</w:t>
      </w:r>
      <w:r w:rsidRPr="00FA1A9F">
        <w:t xml:space="preserve"> Y. Alaitani </w:t>
      </w:r>
      <w:r>
        <w:t xml:space="preserve">(2011). </w:t>
      </w:r>
      <w:r w:rsidRPr="00FA1A9F">
        <w:t>Oil price movements and stock market returns: Evidence</w:t>
      </w:r>
      <w:r>
        <w:t xml:space="preserve"> </w:t>
      </w:r>
      <w:r w:rsidRPr="00FA1A9F">
        <w:t>from Gulf Cooperation Council (GCC) countries</w:t>
      </w:r>
      <w:r w:rsidR="003634EB">
        <w:t>.</w:t>
      </w:r>
      <w:r w:rsidRPr="00FA1A9F">
        <w:t xml:space="preserve"> </w:t>
      </w:r>
      <w:r w:rsidRPr="004F6E7E">
        <w:rPr>
          <w:i/>
        </w:rPr>
        <w:t>Global Finance Journal</w:t>
      </w:r>
      <w:r w:rsidRPr="00FA1A9F">
        <w:t xml:space="preserve"> (2011), doi:10.1016/j.gfj.2011.05.004</w:t>
      </w:r>
      <w:r>
        <w:t xml:space="preserve">. </w:t>
      </w:r>
    </w:p>
    <w:p w:rsidR="00233B12" w:rsidRPr="00575105" w:rsidRDefault="00233B12" w:rsidP="00233B12">
      <w:r w:rsidRPr="00233B12">
        <w:t>Morgan, D. P., Rime, B.,</w:t>
      </w:r>
      <w:r>
        <w:t xml:space="preserve"> and P. Strahan </w:t>
      </w:r>
      <w:r w:rsidR="003634EB">
        <w:t>(</w:t>
      </w:r>
      <w:r>
        <w:t>2004</w:t>
      </w:r>
      <w:r w:rsidR="003634EB">
        <w:t>)</w:t>
      </w:r>
      <w:r>
        <w:t xml:space="preserve">. </w:t>
      </w:r>
      <w:r w:rsidRPr="00233B12">
        <w:t xml:space="preserve">Bank </w:t>
      </w:r>
      <w:r w:rsidR="003634EB">
        <w:t>i</w:t>
      </w:r>
      <w:r w:rsidRPr="00233B12">
        <w:t>ntegra</w:t>
      </w:r>
      <w:r>
        <w:t xml:space="preserve">tion and </w:t>
      </w:r>
      <w:r w:rsidR="003634EB">
        <w:t>s</w:t>
      </w:r>
      <w:r>
        <w:t xml:space="preserve">tate </w:t>
      </w:r>
      <w:r w:rsidR="003634EB">
        <w:t>b</w:t>
      </w:r>
      <w:r>
        <w:t xml:space="preserve">usiness </w:t>
      </w:r>
      <w:r w:rsidR="003634EB">
        <w:t>c</w:t>
      </w:r>
      <w:r>
        <w:t xml:space="preserve">ycles. </w:t>
      </w:r>
      <w:r w:rsidRPr="004F6E7E">
        <w:rPr>
          <w:i/>
        </w:rPr>
        <w:t>Quarterly Journal of Economics</w:t>
      </w:r>
      <w:r w:rsidR="00F11C8E">
        <w:t>, 119(3): 1555</w:t>
      </w:r>
      <w:r w:rsidR="003634EB">
        <w:t>–15</w:t>
      </w:r>
      <w:r w:rsidRPr="00233B12">
        <w:t>85.</w:t>
      </w:r>
    </w:p>
    <w:p w:rsidR="00575105" w:rsidRDefault="00575105" w:rsidP="00575105">
      <w:r w:rsidRPr="00575105">
        <w:t xml:space="preserve">Nandha, M., </w:t>
      </w:r>
      <w:r w:rsidR="00C225AC">
        <w:t>and</w:t>
      </w:r>
      <w:r w:rsidRPr="00575105">
        <w:t xml:space="preserve"> </w:t>
      </w:r>
      <w:r w:rsidR="003634EB">
        <w:t xml:space="preserve">R. </w:t>
      </w:r>
      <w:r w:rsidRPr="00575105">
        <w:t xml:space="preserve">Faff (2008). Does oil move </w:t>
      </w:r>
      <w:r w:rsidR="00674202">
        <w:t>stock</w:t>
      </w:r>
      <w:r w:rsidRPr="00575105">
        <w:t xml:space="preserve"> prices? A global view. </w:t>
      </w:r>
      <w:r w:rsidRPr="004F6E7E">
        <w:rPr>
          <w:i/>
        </w:rPr>
        <w:t>Energy Economics</w:t>
      </w:r>
      <w:r w:rsidRPr="00575105">
        <w:t>, 30</w:t>
      </w:r>
      <w:r w:rsidR="003634EB">
        <w:t>:</w:t>
      </w:r>
      <w:r w:rsidRPr="00575105">
        <w:t xml:space="preserve"> 986–997.</w:t>
      </w:r>
    </w:p>
    <w:p w:rsidR="009D0BD7" w:rsidRDefault="009D0BD7" w:rsidP="00575105">
      <w:r>
        <w:t xml:space="preserve">Omran, M., and L. </w:t>
      </w:r>
      <w:r w:rsidRPr="009D0BD7">
        <w:t>G</w:t>
      </w:r>
      <w:r w:rsidRPr="009D0BD7">
        <w:rPr>
          <w:rFonts w:cs="Arial Unicode MS"/>
        </w:rPr>
        <w:t>u</w:t>
      </w:r>
      <w:r w:rsidRPr="009D0BD7">
        <w:t>nd</w:t>
      </w:r>
      <w:r w:rsidRPr="009D0BD7">
        <w:rPr>
          <w:rFonts w:cs="Arial Unicode MS"/>
        </w:rPr>
        <w:t>u</w:t>
      </w:r>
      <w:r>
        <w:t>z</w:t>
      </w:r>
      <w:r w:rsidR="003634EB">
        <w:t xml:space="preserve"> (2001).</w:t>
      </w:r>
      <w:r>
        <w:t xml:space="preserve"> Stochastic </w:t>
      </w:r>
      <w:r w:rsidR="003634EB">
        <w:t>t</w:t>
      </w:r>
      <w:r>
        <w:t xml:space="preserve">rends and </w:t>
      </w:r>
      <w:r w:rsidR="003634EB">
        <w:t>s</w:t>
      </w:r>
      <w:r>
        <w:t xml:space="preserve">tock </w:t>
      </w:r>
      <w:r w:rsidR="003634EB">
        <w:t>p</w:t>
      </w:r>
      <w:r>
        <w:t xml:space="preserve">rices in </w:t>
      </w:r>
      <w:r w:rsidR="003634EB">
        <w:t>e</w:t>
      </w:r>
      <w:r>
        <w:t xml:space="preserve">merging </w:t>
      </w:r>
      <w:r w:rsidR="003634EB">
        <w:t>m</w:t>
      </w:r>
      <w:r>
        <w:t xml:space="preserve">arkets: </w:t>
      </w:r>
      <w:r w:rsidR="003634EB">
        <w:t>t</w:t>
      </w:r>
      <w:r>
        <w:t xml:space="preserve">he case of Middle East and North Africa </w:t>
      </w:r>
      <w:r w:rsidR="003634EB">
        <w:t>r</w:t>
      </w:r>
      <w:r>
        <w:t>egion</w:t>
      </w:r>
      <w:r w:rsidR="003634EB">
        <w:t>.</w:t>
      </w:r>
      <w:r>
        <w:t xml:space="preserve"> </w:t>
      </w:r>
      <w:r w:rsidRPr="004F6E7E">
        <w:rPr>
          <w:i/>
        </w:rPr>
        <w:t>Istanbul Stock Exchange Review</w:t>
      </w:r>
      <w:r>
        <w:t>, 5 (2001)</w:t>
      </w:r>
      <w:r w:rsidR="003634EB">
        <w:t>:</w:t>
      </w:r>
      <w:r>
        <w:t xml:space="preserve"> 3</w:t>
      </w:r>
      <w:r w:rsidR="003634EB">
        <w:t>–</w:t>
      </w:r>
      <w:r>
        <w:t>16.</w:t>
      </w:r>
    </w:p>
    <w:p w:rsidR="003767AC" w:rsidRPr="00575105" w:rsidRDefault="003767AC" w:rsidP="003767AC">
      <w:r>
        <w:t>Papapetrou, E. (2001).</w:t>
      </w:r>
      <w:r w:rsidRPr="003767AC">
        <w:t xml:space="preserve"> Oil </w:t>
      </w:r>
      <w:r w:rsidR="003634EB">
        <w:t>p</w:t>
      </w:r>
      <w:r w:rsidRPr="003767AC">
        <w:t xml:space="preserve">rice </w:t>
      </w:r>
      <w:r w:rsidR="003634EB">
        <w:t>s</w:t>
      </w:r>
      <w:r w:rsidRPr="003767AC">
        <w:t xml:space="preserve">hocks, </w:t>
      </w:r>
      <w:r w:rsidR="003634EB">
        <w:t>s</w:t>
      </w:r>
      <w:r w:rsidRPr="003767AC">
        <w:t xml:space="preserve">tock </w:t>
      </w:r>
      <w:r w:rsidR="003634EB">
        <w:t>m</w:t>
      </w:r>
      <w:r w:rsidRPr="003767AC">
        <w:t xml:space="preserve">arket, </w:t>
      </w:r>
      <w:r w:rsidR="003634EB">
        <w:t>e</w:t>
      </w:r>
      <w:r w:rsidRPr="003767AC">
        <w:t xml:space="preserve">conomic </w:t>
      </w:r>
      <w:r w:rsidR="003634EB">
        <w:t>a</w:t>
      </w:r>
      <w:r w:rsidRPr="003767AC">
        <w:t>ctivity and</w:t>
      </w:r>
      <w:r>
        <w:t xml:space="preserve"> </w:t>
      </w:r>
      <w:r w:rsidR="003634EB">
        <w:t>e</w:t>
      </w:r>
      <w:r w:rsidRPr="003767AC">
        <w:t>mployment in Greece</w:t>
      </w:r>
      <w:r w:rsidR="003634EB">
        <w:t>.</w:t>
      </w:r>
      <w:r w:rsidRPr="003767AC">
        <w:t xml:space="preserve"> </w:t>
      </w:r>
      <w:r w:rsidRPr="003767AC">
        <w:rPr>
          <w:i/>
          <w:iCs/>
        </w:rPr>
        <w:t>Energy Economics</w:t>
      </w:r>
      <w:r w:rsidRPr="003767AC">
        <w:t>, 23</w:t>
      </w:r>
      <w:r w:rsidR="003634EB">
        <w:t>:</w:t>
      </w:r>
      <w:r w:rsidRPr="003767AC">
        <w:t xml:space="preserve"> 511</w:t>
      </w:r>
      <w:r w:rsidR="003634EB">
        <w:t>–</w:t>
      </w:r>
      <w:r w:rsidRPr="003767AC">
        <w:t>32.</w:t>
      </w:r>
    </w:p>
    <w:p w:rsidR="00D1469B" w:rsidRDefault="00D1469B" w:rsidP="00575105">
      <w:r>
        <w:t xml:space="preserve">Pindyck, R. S. (2004). Volatility in </w:t>
      </w:r>
      <w:r w:rsidR="003634EB">
        <w:t>n</w:t>
      </w:r>
      <w:r>
        <w:t xml:space="preserve">atural </w:t>
      </w:r>
      <w:r w:rsidR="003634EB">
        <w:t>g</w:t>
      </w:r>
      <w:r>
        <w:t xml:space="preserve">as and </w:t>
      </w:r>
      <w:r w:rsidR="003634EB">
        <w:t>o</w:t>
      </w:r>
      <w:r>
        <w:t xml:space="preserve">il </w:t>
      </w:r>
      <w:r w:rsidR="003634EB">
        <w:t>m</w:t>
      </w:r>
      <w:r>
        <w:t xml:space="preserve">arkets. </w:t>
      </w:r>
      <w:r w:rsidRPr="004F6E7E">
        <w:rPr>
          <w:i/>
        </w:rPr>
        <w:t>The Journal of Energy and Development</w:t>
      </w:r>
      <w:r>
        <w:t>, 30</w:t>
      </w:r>
      <w:r w:rsidR="003634EB">
        <w:t xml:space="preserve"> (</w:t>
      </w:r>
      <w:r>
        <w:t>1</w:t>
      </w:r>
      <w:r w:rsidR="003634EB">
        <w:t>):</w:t>
      </w:r>
      <w:r w:rsidR="00535159">
        <w:t xml:space="preserve"> 1 - 20</w:t>
      </w:r>
    </w:p>
    <w:p w:rsidR="00696894" w:rsidRDefault="00696894" w:rsidP="00575105">
      <w:r>
        <w:t>Rao, A</w:t>
      </w:r>
      <w:r w:rsidR="005808E0">
        <w:t>.</w:t>
      </w:r>
      <w:r w:rsidRPr="00696894">
        <w:t xml:space="preserve"> </w:t>
      </w:r>
      <w:r>
        <w:t>(</w:t>
      </w:r>
      <w:r w:rsidRPr="00696894">
        <w:t>2008</w:t>
      </w:r>
      <w:r>
        <w:t>)</w:t>
      </w:r>
      <w:r w:rsidRPr="00696894">
        <w:t xml:space="preserve">. Analysis of volatility persistence in Middle East emerging </w:t>
      </w:r>
      <w:r w:rsidR="00674202">
        <w:t>stock</w:t>
      </w:r>
      <w:r w:rsidRPr="00696894">
        <w:t xml:space="preserve"> markets. </w:t>
      </w:r>
      <w:r w:rsidRPr="004F6E7E">
        <w:rPr>
          <w:i/>
        </w:rPr>
        <w:t>Studies in Economics and Finance</w:t>
      </w:r>
      <w:r w:rsidR="003634EB">
        <w:rPr>
          <w:i/>
        </w:rPr>
        <w:t>,</w:t>
      </w:r>
      <w:r w:rsidRPr="00696894">
        <w:t xml:space="preserve"> 25</w:t>
      </w:r>
      <w:r w:rsidR="003634EB">
        <w:t>:</w:t>
      </w:r>
      <w:r w:rsidRPr="00696894">
        <w:t xml:space="preserve"> 93–111.</w:t>
      </w:r>
    </w:p>
    <w:p w:rsidR="003876A9" w:rsidRDefault="003876A9" w:rsidP="003876A9">
      <w:r w:rsidRPr="003876A9">
        <w:t xml:space="preserve">Rao DN, </w:t>
      </w:r>
      <w:r w:rsidR="00C225AC">
        <w:t>and</w:t>
      </w:r>
      <w:r>
        <w:t xml:space="preserve"> K. Shankaraiah</w:t>
      </w:r>
      <w:r w:rsidRPr="003876A9">
        <w:t xml:space="preserve"> (2003). Stock </w:t>
      </w:r>
      <w:r w:rsidR="003634EB">
        <w:t>m</w:t>
      </w:r>
      <w:r w:rsidRPr="003876A9">
        <w:t xml:space="preserve">arket </w:t>
      </w:r>
      <w:r w:rsidR="003634EB">
        <w:t>e</w:t>
      </w:r>
      <w:r w:rsidRPr="003876A9">
        <w:t xml:space="preserve">fficiency and </w:t>
      </w:r>
      <w:r w:rsidR="003634EB">
        <w:t>s</w:t>
      </w:r>
      <w:r w:rsidRPr="003876A9">
        <w:t xml:space="preserve">trategies for </w:t>
      </w:r>
      <w:r w:rsidR="003634EB">
        <w:t>d</w:t>
      </w:r>
      <w:r w:rsidRPr="003876A9">
        <w:t>eveloping GCC</w:t>
      </w:r>
      <w:r>
        <w:t xml:space="preserve"> </w:t>
      </w:r>
      <w:r w:rsidR="003634EB">
        <w:t>f</w:t>
      </w:r>
      <w:r w:rsidRPr="003876A9">
        <w:t xml:space="preserve">inancial </w:t>
      </w:r>
      <w:r w:rsidR="003634EB">
        <w:t>m</w:t>
      </w:r>
      <w:r w:rsidRPr="003876A9">
        <w:t xml:space="preserve">arkets: </w:t>
      </w:r>
      <w:r w:rsidR="003634EB">
        <w:t>a</w:t>
      </w:r>
      <w:r w:rsidRPr="003876A9">
        <w:t xml:space="preserve"> </w:t>
      </w:r>
      <w:r w:rsidR="003634EB">
        <w:t>c</w:t>
      </w:r>
      <w:r w:rsidRPr="003876A9">
        <w:t xml:space="preserve">ase </w:t>
      </w:r>
      <w:r w:rsidR="003634EB">
        <w:t>s</w:t>
      </w:r>
      <w:r w:rsidRPr="003876A9">
        <w:t>t</w:t>
      </w:r>
      <w:r>
        <w:t xml:space="preserve">udy of the Bahrain </w:t>
      </w:r>
      <w:r w:rsidR="003634EB">
        <w:t>s</w:t>
      </w:r>
      <w:r>
        <w:t>t</w:t>
      </w:r>
      <w:r w:rsidR="003634EB">
        <w:t>m</w:t>
      </w:r>
      <w:r>
        <w:t>ck Market.</w:t>
      </w:r>
      <w:r w:rsidRPr="003876A9">
        <w:t xml:space="preserve"> </w:t>
      </w:r>
      <w:r w:rsidRPr="004F6E7E">
        <w:rPr>
          <w:i/>
        </w:rPr>
        <w:t>The Arab Bank Review</w:t>
      </w:r>
      <w:r w:rsidRPr="003876A9">
        <w:t>, 5(2)</w:t>
      </w:r>
      <w:r w:rsidR="003634EB">
        <w:t>:</w:t>
      </w:r>
      <w:r>
        <w:t xml:space="preserve"> </w:t>
      </w:r>
      <w:r w:rsidRPr="003876A9">
        <w:t>16</w:t>
      </w:r>
      <w:r w:rsidR="003634EB">
        <w:t>–</w:t>
      </w:r>
      <w:r w:rsidRPr="003876A9">
        <w:t>21.</w:t>
      </w:r>
    </w:p>
    <w:p w:rsidR="005E1DAB" w:rsidRDefault="005E1DAB" w:rsidP="005E1DAB">
      <w:pPr>
        <w:rPr>
          <w:iCs/>
        </w:rPr>
      </w:pPr>
      <w:r w:rsidRPr="005E1DAB">
        <w:rPr>
          <w:iCs/>
        </w:rPr>
        <w:t>Ravichandran,</w:t>
      </w:r>
      <w:r>
        <w:rPr>
          <w:iCs/>
        </w:rPr>
        <w:t xml:space="preserve"> K., </w:t>
      </w:r>
      <w:r w:rsidR="00C225AC">
        <w:rPr>
          <w:iCs/>
        </w:rPr>
        <w:t>and</w:t>
      </w:r>
      <w:r>
        <w:rPr>
          <w:iCs/>
        </w:rPr>
        <w:t xml:space="preserve"> K. A.</w:t>
      </w:r>
      <w:r w:rsidRPr="005E1DAB">
        <w:rPr>
          <w:iCs/>
        </w:rPr>
        <w:t xml:space="preserve"> Alkhathlan</w:t>
      </w:r>
      <w:r>
        <w:rPr>
          <w:iCs/>
        </w:rPr>
        <w:t xml:space="preserve"> (2010). </w:t>
      </w:r>
      <w:r w:rsidR="007A4518" w:rsidRPr="007A4518">
        <w:rPr>
          <w:iCs/>
        </w:rPr>
        <w:t xml:space="preserve">Impact of </w:t>
      </w:r>
      <w:r w:rsidR="0007206E">
        <w:rPr>
          <w:iCs/>
        </w:rPr>
        <w:t>o</w:t>
      </w:r>
      <w:r w:rsidR="007A4518" w:rsidRPr="007A4518">
        <w:rPr>
          <w:iCs/>
        </w:rPr>
        <w:t xml:space="preserve">il </w:t>
      </w:r>
      <w:r w:rsidR="0007206E">
        <w:rPr>
          <w:iCs/>
        </w:rPr>
        <w:t>p</w:t>
      </w:r>
      <w:r w:rsidR="007A4518" w:rsidRPr="007A4518">
        <w:rPr>
          <w:iCs/>
        </w:rPr>
        <w:t xml:space="preserve">rices on GCC </w:t>
      </w:r>
      <w:r w:rsidR="0007206E">
        <w:rPr>
          <w:iCs/>
        </w:rPr>
        <w:t>s</w:t>
      </w:r>
      <w:r w:rsidR="007A4518" w:rsidRPr="007A4518">
        <w:rPr>
          <w:iCs/>
        </w:rPr>
        <w:t xml:space="preserve">tock </w:t>
      </w:r>
      <w:r w:rsidR="0007206E">
        <w:rPr>
          <w:iCs/>
        </w:rPr>
        <w:t>m</w:t>
      </w:r>
      <w:r w:rsidR="007A4518" w:rsidRPr="007A4518">
        <w:rPr>
          <w:iCs/>
        </w:rPr>
        <w:t>arket</w:t>
      </w:r>
      <w:r w:rsidR="007A4518">
        <w:rPr>
          <w:iCs/>
        </w:rPr>
        <w:t>.</w:t>
      </w:r>
      <w:r w:rsidR="00E1141E" w:rsidRPr="00E1141E">
        <w:rPr>
          <w:i/>
          <w:iCs/>
        </w:rPr>
        <w:t xml:space="preserve"> Research in Applied Economics, MacroThink Institute,</w:t>
      </w:r>
      <w:r w:rsidR="007A4518">
        <w:rPr>
          <w:iCs/>
        </w:rPr>
        <w:t xml:space="preserve"> 2</w:t>
      </w:r>
      <w:r w:rsidR="0007206E">
        <w:rPr>
          <w:iCs/>
        </w:rPr>
        <w:t xml:space="preserve"> (</w:t>
      </w:r>
      <w:r w:rsidR="007A4518">
        <w:rPr>
          <w:iCs/>
        </w:rPr>
        <w:t>1</w:t>
      </w:r>
      <w:r w:rsidR="0007206E">
        <w:rPr>
          <w:iCs/>
        </w:rPr>
        <w:t>):</w:t>
      </w:r>
      <w:r w:rsidR="0059722B">
        <w:rPr>
          <w:iCs/>
        </w:rPr>
        <w:t xml:space="preserve"> 1 - 12</w:t>
      </w:r>
      <w:r w:rsidR="0007206E">
        <w:rPr>
          <w:iCs/>
        </w:rPr>
        <w:t xml:space="preserve"> </w:t>
      </w:r>
      <w:r w:rsidR="007A4518">
        <w:rPr>
          <w:iCs/>
        </w:rPr>
        <w:t>.</w:t>
      </w:r>
    </w:p>
    <w:p w:rsidR="000E7346" w:rsidRPr="005E1DAB" w:rsidRDefault="000E7346" w:rsidP="005E1DAB">
      <w:r w:rsidRPr="000E7346">
        <w:lastRenderedPageBreak/>
        <w:t>Ravn</w:t>
      </w:r>
      <w:r>
        <w:t>, M. O., and H.</w:t>
      </w:r>
      <w:r w:rsidRPr="000E7346">
        <w:t xml:space="preserve"> Uhlig</w:t>
      </w:r>
      <w:r w:rsidR="0007206E">
        <w:t xml:space="preserve"> (</w:t>
      </w:r>
      <w:r w:rsidRPr="000E7346">
        <w:t>2002</w:t>
      </w:r>
      <w:r w:rsidR="0007206E">
        <w:t>)</w:t>
      </w:r>
      <w:r w:rsidRPr="000E7346">
        <w:t>. On adjusting the Hodrick</w:t>
      </w:r>
      <w:r w:rsidR="0007206E">
        <w:t>–</w:t>
      </w:r>
      <w:r w:rsidRPr="000E7346">
        <w:t>Prescott filter for the frequency of observations</w:t>
      </w:r>
      <w:r w:rsidR="0007206E">
        <w:t>.</w:t>
      </w:r>
      <w:r w:rsidRPr="000E7346">
        <w:t xml:space="preserve"> </w:t>
      </w:r>
      <w:r w:rsidR="00E1141E" w:rsidRPr="00E1141E">
        <w:rPr>
          <w:i/>
        </w:rPr>
        <w:t>The Review of Economics and Statistics</w:t>
      </w:r>
      <w:r w:rsidR="0007206E">
        <w:t>,</w:t>
      </w:r>
      <w:r w:rsidRPr="000E7346">
        <w:t xml:space="preserve"> 84</w:t>
      </w:r>
      <w:r w:rsidR="0007206E">
        <w:t xml:space="preserve"> </w:t>
      </w:r>
      <w:r w:rsidRPr="000E7346">
        <w:t>(2)</w:t>
      </w:r>
      <w:r w:rsidR="0007206E">
        <w:t>:</w:t>
      </w:r>
      <w:r w:rsidRPr="000E7346">
        <w:t xml:space="preserve"> 371</w:t>
      </w:r>
      <w:r w:rsidR="0007206E">
        <w:t>–</w:t>
      </w:r>
      <w:r w:rsidRPr="000E7346">
        <w:t>375.</w:t>
      </w:r>
    </w:p>
    <w:p w:rsidR="00575105" w:rsidRPr="00575105" w:rsidRDefault="00575105" w:rsidP="00575105">
      <w:r w:rsidRPr="00575105">
        <w:t xml:space="preserve">Sadorsky, P. (1999). Oil price shocks and stock market activity. </w:t>
      </w:r>
      <w:r w:rsidRPr="004F6E7E">
        <w:rPr>
          <w:i/>
        </w:rPr>
        <w:t>Energy Economics</w:t>
      </w:r>
      <w:r w:rsidRPr="00575105">
        <w:t>, 21</w:t>
      </w:r>
      <w:r w:rsidR="0007206E">
        <w:t>:</w:t>
      </w:r>
      <w:r w:rsidRPr="00575105">
        <w:t xml:space="preserve"> 449–469.</w:t>
      </w:r>
    </w:p>
    <w:p w:rsidR="00575105" w:rsidRDefault="00575105" w:rsidP="00575105">
      <w:r w:rsidRPr="00575105">
        <w:t xml:space="preserve">Sadorsky, P. (2001). Risk factors in stock returns of Canadian oil and gas companies. </w:t>
      </w:r>
      <w:r w:rsidRPr="004F6E7E">
        <w:rPr>
          <w:i/>
        </w:rPr>
        <w:t>Energy Economics</w:t>
      </w:r>
      <w:r w:rsidRPr="00575105">
        <w:t>, 23</w:t>
      </w:r>
      <w:r w:rsidR="0007206E">
        <w:t>:</w:t>
      </w:r>
      <w:r w:rsidRPr="00575105">
        <w:t xml:space="preserve"> 17–28.</w:t>
      </w:r>
    </w:p>
    <w:p w:rsidR="00C73B57" w:rsidRDefault="00C73B57" w:rsidP="00575105">
      <w:r>
        <w:t xml:space="preserve">Sadorsky, P. (2003). </w:t>
      </w:r>
      <w:bookmarkStart w:id="7" w:name="601193_ja"/>
      <w:bookmarkEnd w:id="7"/>
      <w:r>
        <w:t xml:space="preserve">The macroeconomic determinants of technology stock price volatility. </w:t>
      </w:r>
      <w:r w:rsidR="00E1141E" w:rsidRPr="00E1141E">
        <w:rPr>
          <w:i/>
        </w:rPr>
        <w:t>Review of. Financial Economics</w:t>
      </w:r>
      <w:r>
        <w:t>, 12: 191</w:t>
      </w:r>
      <w:r w:rsidR="0007206E">
        <w:t>–</w:t>
      </w:r>
      <w:r>
        <w:t>205.</w:t>
      </w:r>
    </w:p>
    <w:p w:rsidR="00486FED" w:rsidRDefault="00FD6810" w:rsidP="00486FED">
      <w:r>
        <w:t>Sargent, T. J. and C.</w:t>
      </w:r>
      <w:r w:rsidR="00486FED" w:rsidRPr="00486FED">
        <w:t xml:space="preserve"> A. Sims (1977)</w:t>
      </w:r>
      <w:r>
        <w:t>.</w:t>
      </w:r>
      <w:r w:rsidR="00486FED" w:rsidRPr="00486FED">
        <w:t xml:space="preserve"> Business cycle modelling without pretending</w:t>
      </w:r>
      <w:r w:rsidR="00486FED">
        <w:t xml:space="preserve"> </w:t>
      </w:r>
      <w:r w:rsidR="00486FED" w:rsidRPr="00486FED">
        <w:t xml:space="preserve">to have too much </w:t>
      </w:r>
      <w:r w:rsidR="00486FED" w:rsidRPr="00486FED">
        <w:rPr>
          <w:i/>
          <w:iCs/>
        </w:rPr>
        <w:t xml:space="preserve">a priori </w:t>
      </w:r>
      <w:r w:rsidR="00486FED" w:rsidRPr="00486FED">
        <w:t>economic theory</w:t>
      </w:r>
      <w:r w:rsidR="0007206E">
        <w:t>. I</w:t>
      </w:r>
      <w:r w:rsidR="00486FED" w:rsidRPr="00486FED">
        <w:t xml:space="preserve">n Cristopher A. Sims (ed.) </w:t>
      </w:r>
      <w:r w:rsidR="00486FED" w:rsidRPr="00486FED">
        <w:rPr>
          <w:i/>
          <w:iCs/>
        </w:rPr>
        <w:t>New</w:t>
      </w:r>
      <w:r>
        <w:rPr>
          <w:i/>
          <w:iCs/>
        </w:rPr>
        <w:t xml:space="preserve"> </w:t>
      </w:r>
      <w:r w:rsidR="00486FED" w:rsidRPr="00486FED">
        <w:rPr>
          <w:i/>
          <w:iCs/>
        </w:rPr>
        <w:t xml:space="preserve">Methods in Business Research </w:t>
      </w:r>
      <w:r w:rsidR="00486FED" w:rsidRPr="00486FED">
        <w:t>(Minneapolis: Federal Reserve Bank of Minneapolis).</w:t>
      </w:r>
    </w:p>
    <w:p w:rsidR="00F16836" w:rsidRDefault="00696894" w:rsidP="00AB62D7">
      <w:r w:rsidRPr="00696894">
        <w:t xml:space="preserve">Sharma, E., 2005. On the non-normality of GCC stock markets. </w:t>
      </w:r>
      <w:r w:rsidRPr="004F6E7E">
        <w:rPr>
          <w:i/>
        </w:rPr>
        <w:t>Journal of Applied Corporate Finance</w:t>
      </w:r>
      <w:r w:rsidR="0007206E">
        <w:rPr>
          <w:i/>
        </w:rPr>
        <w:t>,</w:t>
      </w:r>
      <w:r w:rsidRPr="00696894">
        <w:t xml:space="preserve"> </w:t>
      </w:r>
      <w:r w:rsidR="0007206E">
        <w:t>(July</w:t>
      </w:r>
      <w:r w:rsidR="00483863">
        <w:t xml:space="preserve"> Issue</w:t>
      </w:r>
      <w:r w:rsidR="0007206E">
        <w:t xml:space="preserve">) : </w:t>
      </w:r>
      <w:r w:rsidRPr="00696894">
        <w:t>51–58.</w:t>
      </w:r>
    </w:p>
    <w:p w:rsidR="00361A24" w:rsidRDefault="00361A24" w:rsidP="00AB62D7">
      <w:r>
        <w:t xml:space="preserve">STATA 11, </w:t>
      </w:r>
      <w:r w:rsidR="00B93993" w:rsidRPr="00B93993">
        <w:rPr>
          <w:i/>
        </w:rPr>
        <w:t>Time Series Manual</w:t>
      </w:r>
      <w:r>
        <w:t>, 2011</w:t>
      </w:r>
      <w:r w:rsidR="00A84E9E">
        <w:t>,p.93</w:t>
      </w:r>
      <w:r>
        <w:t>.</w:t>
      </w:r>
    </w:p>
    <w:p w:rsidR="00D2344D" w:rsidRDefault="007A672D" w:rsidP="00AB62D7">
      <w:pPr>
        <w:rPr>
          <w:rStyle w:val="referencetext"/>
        </w:rPr>
      </w:pPr>
      <w:r>
        <w:rPr>
          <w:rStyle w:val="referencetext"/>
        </w:rPr>
        <w:t xml:space="preserve">Stock, </w:t>
      </w:r>
      <w:r w:rsidR="00D2344D">
        <w:rPr>
          <w:rStyle w:val="referencetext"/>
        </w:rPr>
        <w:t xml:space="preserve">J.H. and M. Watson (1988). Testing for common trends. </w:t>
      </w:r>
      <w:r w:rsidR="00D2344D">
        <w:rPr>
          <w:rStyle w:val="referencetext"/>
          <w:i/>
          <w:iCs/>
        </w:rPr>
        <w:t>Journal of the American Statistical Association</w:t>
      </w:r>
      <w:r w:rsidR="00D2344D">
        <w:rPr>
          <w:rStyle w:val="referencetext"/>
        </w:rPr>
        <w:t xml:space="preserve">, </w:t>
      </w:r>
      <w:r w:rsidR="00E1141E" w:rsidRPr="00E1141E">
        <w:rPr>
          <w:rStyle w:val="Strong"/>
          <w:b w:val="0"/>
        </w:rPr>
        <w:t>83:</w:t>
      </w:r>
      <w:r w:rsidR="00D2344D">
        <w:rPr>
          <w:rStyle w:val="referencetext"/>
        </w:rPr>
        <w:t xml:space="preserve"> 1097–1107.</w:t>
      </w:r>
    </w:p>
    <w:p w:rsidR="00FD6810" w:rsidRPr="00486FED" w:rsidRDefault="00FD6810" w:rsidP="00FD6810">
      <w:r>
        <w:t>---</w:t>
      </w:r>
      <w:r w:rsidRPr="00486FED">
        <w:t xml:space="preserve"> </w:t>
      </w:r>
      <w:r>
        <w:t>(</w:t>
      </w:r>
      <w:r w:rsidRPr="00486FED">
        <w:t>1989</w:t>
      </w:r>
      <w:r>
        <w:t>)</w:t>
      </w:r>
      <w:r w:rsidRPr="00486FED">
        <w:t xml:space="preserve">. New indexes of coincident and leading economic indicators. In </w:t>
      </w:r>
      <w:r w:rsidR="0007206E">
        <w:t xml:space="preserve">Blanchard, O. J. and Fischer, S. (eds) </w:t>
      </w:r>
      <w:r w:rsidR="00E1141E" w:rsidRPr="00E1141E">
        <w:rPr>
          <w:i/>
        </w:rPr>
        <w:t>NBER Macroeconomics Annual 1989 Vol. 4</w:t>
      </w:r>
      <w:r w:rsidR="0007206E">
        <w:t>. pp</w:t>
      </w:r>
      <w:r w:rsidRPr="00486FED">
        <w:t xml:space="preserve"> 351–394. </w:t>
      </w:r>
      <w:r w:rsidR="0007206E">
        <w:t>(</w:t>
      </w:r>
      <w:r w:rsidRPr="00486FED">
        <w:t>Cambridge, MA: MIT Press</w:t>
      </w:r>
      <w:r w:rsidR="0007206E">
        <w:t>)</w:t>
      </w:r>
      <w:r w:rsidRPr="00486FED">
        <w:t>.</w:t>
      </w:r>
    </w:p>
    <w:p w:rsidR="00FD6810" w:rsidRDefault="00FD6810" w:rsidP="00FD6810">
      <w:r>
        <w:t xml:space="preserve">--- </w:t>
      </w:r>
      <w:r w:rsidRPr="00486FED">
        <w:t xml:space="preserve"> </w:t>
      </w:r>
      <w:r>
        <w:t>(</w:t>
      </w:r>
      <w:r w:rsidRPr="00486FED">
        <w:t>1991</w:t>
      </w:r>
      <w:r>
        <w:t>)</w:t>
      </w:r>
      <w:r w:rsidRPr="00486FED">
        <w:t xml:space="preserve">. A probability model of the coincident economic indicators. In </w:t>
      </w:r>
      <w:r w:rsidR="0007206E" w:rsidRPr="00486FED">
        <w:t>Lahiri</w:t>
      </w:r>
      <w:r w:rsidR="0007206E">
        <w:t>,</w:t>
      </w:r>
      <w:r w:rsidR="0007206E" w:rsidRPr="00486FED">
        <w:t xml:space="preserve"> </w:t>
      </w:r>
      <w:r w:rsidR="0007206E">
        <w:t xml:space="preserve">K. </w:t>
      </w:r>
      <w:r w:rsidR="0007206E" w:rsidRPr="00486FED">
        <w:t>and Moore</w:t>
      </w:r>
      <w:r w:rsidR="0007206E">
        <w:t>,</w:t>
      </w:r>
      <w:r w:rsidR="0007206E" w:rsidRPr="00486FED">
        <w:t xml:space="preserve"> G. H. </w:t>
      </w:r>
      <w:r w:rsidR="0007206E">
        <w:t xml:space="preserve">(eds) </w:t>
      </w:r>
      <w:r w:rsidR="00E1141E" w:rsidRPr="00E1141E">
        <w:rPr>
          <w:i/>
        </w:rPr>
        <w:t>Leading Economic Indicators: New Approaches and Forecasting Records</w:t>
      </w:r>
      <w:r w:rsidR="0007206E">
        <w:t>.</w:t>
      </w:r>
      <w:r w:rsidRPr="00486FED">
        <w:t xml:space="preserve"> </w:t>
      </w:r>
      <w:r w:rsidR="0007206E">
        <w:t>pp</w:t>
      </w:r>
      <w:r w:rsidRPr="00486FED">
        <w:t xml:space="preserve"> 63–89. </w:t>
      </w:r>
      <w:r w:rsidR="0007206E">
        <w:t>(</w:t>
      </w:r>
      <w:r w:rsidRPr="00486FED">
        <w:t>Cambridge</w:t>
      </w:r>
      <w:r w:rsidR="0007206E">
        <w:t>, UK</w:t>
      </w:r>
      <w:r w:rsidRPr="00486FED">
        <w:t>: Cambridge University</w:t>
      </w:r>
      <w:r>
        <w:t xml:space="preserve"> </w:t>
      </w:r>
      <w:r w:rsidRPr="00486FED">
        <w:t>Press</w:t>
      </w:r>
      <w:r w:rsidR="0007206E">
        <w:t>)</w:t>
      </w:r>
      <w:r w:rsidRPr="00486FED">
        <w:t>.</w:t>
      </w:r>
    </w:p>
    <w:p w:rsidR="00AB62D7" w:rsidRPr="00AB62D7" w:rsidRDefault="00CC2B6F" w:rsidP="00AB62D7">
      <w:pPr>
        <w:rPr>
          <w:b/>
          <w:bCs/>
        </w:rPr>
      </w:pPr>
      <w:r>
        <w:t xml:space="preserve">Suganuma, R. (2000). </w:t>
      </w:r>
      <w:r w:rsidR="00E1141E" w:rsidRPr="00E1141E">
        <w:rPr>
          <w:i/>
        </w:rPr>
        <w:t>Reality Check for Volatility Models.</w:t>
      </w:r>
      <w:r>
        <w:t xml:space="preserve"> Working Paper 0508</w:t>
      </w:r>
      <w:r w:rsidRPr="0007206E">
        <w:t>.</w:t>
      </w:r>
      <w:r w:rsidR="00E1141E" w:rsidRPr="00E1141E">
        <w:rPr>
          <w:rFonts w:eastAsia="Times New Roman" w:cs="Times New Roman"/>
          <w:kern w:val="36"/>
        </w:rPr>
        <w:t xml:space="preserve"> (San Diego: </w:t>
      </w:r>
      <w:r w:rsidR="0007206E">
        <w:t>University of California at San Diego).</w:t>
      </w:r>
    </w:p>
    <w:p w:rsidR="00AB62D7" w:rsidRDefault="00AB62D7" w:rsidP="00575105">
      <w:r>
        <w:t xml:space="preserve">Suliman, O. (2011). </w:t>
      </w:r>
      <w:r w:rsidRPr="00AB62D7">
        <w:rPr>
          <w:bCs/>
        </w:rPr>
        <w:t>The large country effect, contagion and spillover effects in the GCC</w:t>
      </w:r>
      <w:r>
        <w:rPr>
          <w:bCs/>
        </w:rPr>
        <w:t xml:space="preserve">. </w:t>
      </w:r>
      <w:r w:rsidRPr="004F6E7E">
        <w:rPr>
          <w:bCs/>
          <w:i/>
        </w:rPr>
        <w:t>Applied Economic Letters</w:t>
      </w:r>
      <w:r>
        <w:rPr>
          <w:bCs/>
        </w:rPr>
        <w:t xml:space="preserve">, </w:t>
      </w:r>
      <w:r w:rsidR="00913679" w:rsidRPr="00913679">
        <w:rPr>
          <w:bCs/>
        </w:rPr>
        <w:t>18</w:t>
      </w:r>
      <w:r w:rsidR="0007206E">
        <w:rPr>
          <w:bCs/>
        </w:rPr>
        <w:t xml:space="preserve"> (</w:t>
      </w:r>
      <w:r w:rsidR="00913679" w:rsidRPr="00913679">
        <w:rPr>
          <w:bCs/>
        </w:rPr>
        <w:t>3</w:t>
      </w:r>
      <w:r w:rsidR="0007206E">
        <w:rPr>
          <w:bCs/>
        </w:rPr>
        <w:t>):</w:t>
      </w:r>
      <w:r w:rsidR="00913679">
        <w:rPr>
          <w:bCs/>
        </w:rPr>
        <w:t xml:space="preserve"> 285</w:t>
      </w:r>
      <w:r w:rsidR="0007206E">
        <w:rPr>
          <w:bCs/>
        </w:rPr>
        <w:t>–</w:t>
      </w:r>
      <w:r w:rsidR="00913679">
        <w:rPr>
          <w:bCs/>
        </w:rPr>
        <w:t>294.</w:t>
      </w:r>
    </w:p>
    <w:p w:rsidR="00455144" w:rsidRDefault="00455144" w:rsidP="00455144">
      <w:r>
        <w:t xml:space="preserve">Vahid, F. and R. F. Engle (1993). Common </w:t>
      </w:r>
      <w:r w:rsidR="0007206E">
        <w:t>t</w:t>
      </w:r>
      <w:r>
        <w:t xml:space="preserve">rends and </w:t>
      </w:r>
      <w:r w:rsidR="0007206E">
        <w:t>c</w:t>
      </w:r>
      <w:r>
        <w:t xml:space="preserve">ommon </w:t>
      </w:r>
      <w:r w:rsidR="0007206E">
        <w:t>c</w:t>
      </w:r>
      <w:r>
        <w:t xml:space="preserve">ycles. </w:t>
      </w:r>
      <w:r>
        <w:rPr>
          <w:i/>
          <w:iCs/>
        </w:rPr>
        <w:t>Journal of Applied Econometrics</w:t>
      </w:r>
      <w:r w:rsidR="0007206E">
        <w:rPr>
          <w:i/>
          <w:iCs/>
        </w:rPr>
        <w:t>,</w:t>
      </w:r>
      <w:r>
        <w:t xml:space="preserve"> 8: 341</w:t>
      </w:r>
      <w:r w:rsidR="0007206E">
        <w:t>–</w:t>
      </w:r>
      <w:r>
        <w:t>360.</w:t>
      </w:r>
    </w:p>
    <w:p w:rsidR="00C62A66" w:rsidRDefault="00CA58B2" w:rsidP="00575105">
      <w:r>
        <w:t xml:space="preserve">Van Rijckeghem, C. and B. Weder </w:t>
      </w:r>
      <w:r w:rsidR="0007206E">
        <w:t>(</w:t>
      </w:r>
      <w:r>
        <w:t>2003</w:t>
      </w:r>
      <w:r w:rsidR="0007206E">
        <w:t>)</w:t>
      </w:r>
      <w:r>
        <w:t xml:space="preserve">. Spillovers through </w:t>
      </w:r>
      <w:r w:rsidR="0007206E">
        <w:t>b</w:t>
      </w:r>
      <w:r>
        <w:t xml:space="preserve">anking </w:t>
      </w:r>
      <w:r w:rsidR="0007206E">
        <w:t>c</w:t>
      </w:r>
      <w:r>
        <w:t xml:space="preserve">enters: </w:t>
      </w:r>
      <w:r w:rsidR="0007206E">
        <w:t>a</w:t>
      </w:r>
      <w:r>
        <w:t xml:space="preserve"> </w:t>
      </w:r>
      <w:r w:rsidR="0007206E">
        <w:t>p</w:t>
      </w:r>
      <w:r>
        <w:t xml:space="preserve">anel </w:t>
      </w:r>
      <w:r w:rsidR="0007206E">
        <w:t>d</w:t>
      </w:r>
      <w:r>
        <w:t xml:space="preserve">ata </w:t>
      </w:r>
      <w:r w:rsidR="0007206E">
        <w:t>a</w:t>
      </w:r>
      <w:r>
        <w:t xml:space="preserve">nalysis of </w:t>
      </w:r>
      <w:r w:rsidR="0007206E">
        <w:t>b</w:t>
      </w:r>
      <w:r>
        <w:t xml:space="preserve">ank </w:t>
      </w:r>
      <w:r w:rsidR="0007206E">
        <w:t>f</w:t>
      </w:r>
      <w:r>
        <w:t xml:space="preserve">lows. </w:t>
      </w:r>
      <w:r>
        <w:rPr>
          <w:i/>
          <w:iCs/>
        </w:rPr>
        <w:t>Journal of International Money and Finance</w:t>
      </w:r>
      <w:r w:rsidR="0007206E">
        <w:rPr>
          <w:i/>
          <w:iCs/>
        </w:rPr>
        <w:t>,</w:t>
      </w:r>
      <w:r>
        <w:rPr>
          <w:i/>
          <w:iCs/>
        </w:rPr>
        <w:t xml:space="preserve"> </w:t>
      </w:r>
      <w:r>
        <w:t>22</w:t>
      </w:r>
      <w:r w:rsidR="0007206E">
        <w:t>:</w:t>
      </w:r>
      <w:r>
        <w:t xml:space="preserve"> 483</w:t>
      </w:r>
      <w:r w:rsidR="0007206E">
        <w:t>–</w:t>
      </w:r>
      <w:r>
        <w:t>509.</w:t>
      </w:r>
    </w:p>
    <w:p w:rsidR="00FD6810" w:rsidRDefault="00FD6810" w:rsidP="00FD6810">
      <w:r w:rsidRPr="00FD6810">
        <w:t>Watson, M</w:t>
      </w:r>
      <w:r w:rsidR="005674F2">
        <w:t>.</w:t>
      </w:r>
      <w:r w:rsidRPr="00FD6810">
        <w:t xml:space="preserve"> W. and R</w:t>
      </w:r>
      <w:r w:rsidR="005674F2">
        <w:t>.</w:t>
      </w:r>
      <w:r w:rsidRPr="00FD6810">
        <w:t xml:space="preserve"> F. Engle (1983)</w:t>
      </w:r>
      <w:r>
        <w:t>.</w:t>
      </w:r>
      <w:r w:rsidRPr="00FD6810">
        <w:t xml:space="preserve"> Alternative algorithms for the estimation</w:t>
      </w:r>
      <w:r>
        <w:t xml:space="preserve"> </w:t>
      </w:r>
      <w:r w:rsidRPr="00FD6810">
        <w:t>of dynamic factors, MIMIC, and varyin</w:t>
      </w:r>
      <w:r>
        <w:t>g coefficient regression models.</w:t>
      </w:r>
      <w:r w:rsidRPr="00FD6810">
        <w:t xml:space="preserve"> </w:t>
      </w:r>
      <w:r w:rsidRPr="00FD6810">
        <w:rPr>
          <w:i/>
          <w:iCs/>
        </w:rPr>
        <w:t>Journal of</w:t>
      </w:r>
      <w:r>
        <w:rPr>
          <w:i/>
          <w:iCs/>
        </w:rPr>
        <w:t xml:space="preserve"> </w:t>
      </w:r>
      <w:r w:rsidRPr="00FD6810">
        <w:rPr>
          <w:i/>
          <w:iCs/>
        </w:rPr>
        <w:t>Econometrics</w:t>
      </w:r>
      <w:r w:rsidR="005674F2">
        <w:rPr>
          <w:i/>
          <w:iCs/>
        </w:rPr>
        <w:t>,</w:t>
      </w:r>
      <w:r w:rsidRPr="00FD6810">
        <w:rPr>
          <w:i/>
          <w:iCs/>
        </w:rPr>
        <w:t xml:space="preserve"> </w:t>
      </w:r>
      <w:r w:rsidRPr="00FD6810">
        <w:t>23</w:t>
      </w:r>
      <w:r w:rsidR="005674F2">
        <w:t xml:space="preserve">: </w:t>
      </w:r>
      <w:r w:rsidRPr="00FD6810">
        <w:t>385</w:t>
      </w:r>
      <w:r w:rsidR="005674F2">
        <w:t>–</w:t>
      </w:r>
      <w:r w:rsidRPr="00FD6810">
        <w:t>400.</w:t>
      </w:r>
    </w:p>
    <w:p w:rsidR="00486FED" w:rsidRDefault="00486FED" w:rsidP="00486FED"/>
    <w:sectPr w:rsidR="00486FED" w:rsidSect="008E30C1">
      <w:footerReference w:type="default" r:id="rId11"/>
      <w:type w:val="continuous"/>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Megan  Foster" w:date="2012-03-23T10:47:00Z" w:initials="MCF">
    <w:p w:rsidR="00157B8E" w:rsidRDefault="00157B8E">
      <w:pPr>
        <w:pStyle w:val="CommentText"/>
      </w:pPr>
      <w:r>
        <w:rPr>
          <w:rStyle w:val="CommentReference"/>
        </w:rPr>
        <w:annotationRef/>
      </w:r>
      <w:r>
        <w:t>IN full, please.  Abu Dhabi exchange?</w:t>
      </w:r>
    </w:p>
  </w:comment>
  <w:comment w:id="5" w:author="Megan  Foster" w:date="2012-03-23T10:47:00Z" w:initials="MCF">
    <w:p w:rsidR="00157B8E" w:rsidRDefault="00157B8E">
      <w:pPr>
        <w:pStyle w:val="CommentText"/>
      </w:pPr>
      <w:r>
        <w:rPr>
          <w:rStyle w:val="CommentReference"/>
        </w:rPr>
        <w:annotationRef/>
      </w:r>
      <w:r>
        <w:t xml:space="preserve"> In full, please.  Which market are these figures for?</w:t>
      </w:r>
    </w:p>
  </w:comment>
  <w:comment w:id="6" w:author="Megan  Foster" w:date="2012-03-23T10:47:00Z" w:initials="MCF">
    <w:p w:rsidR="00157B8E" w:rsidRDefault="00157B8E">
      <w:pPr>
        <w:pStyle w:val="CommentText"/>
      </w:pPr>
      <w:r>
        <w:rPr>
          <w:rStyle w:val="CommentReference"/>
        </w:rPr>
        <w:annotationRef/>
      </w:r>
      <w:r>
        <w:t xml:space="preserve"> IN full, please.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756" w:rsidRDefault="00672756" w:rsidP="008E30C1">
      <w:pPr>
        <w:spacing w:after="0" w:line="240" w:lineRule="auto"/>
      </w:pPr>
      <w:r>
        <w:separator/>
      </w:r>
    </w:p>
  </w:endnote>
  <w:endnote w:type="continuationSeparator" w:id="0">
    <w:p w:rsidR="00672756" w:rsidRDefault="00672756" w:rsidP="008E30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imbusRomNo9L-Regu">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dvTT3713a231">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56565"/>
      <w:docPartObj>
        <w:docPartGallery w:val="Page Numbers (Bottom of Page)"/>
        <w:docPartUnique/>
      </w:docPartObj>
    </w:sdtPr>
    <w:sdtContent>
      <w:p w:rsidR="00157B8E" w:rsidRDefault="00157B8E">
        <w:pPr>
          <w:pStyle w:val="Footer"/>
          <w:jc w:val="center"/>
        </w:pPr>
        <w:fldSimple w:instr=" PAGE   \* MERGEFORMAT ">
          <w:r w:rsidR="00886AEC">
            <w:rPr>
              <w:noProof/>
            </w:rPr>
            <w:t>1</w:t>
          </w:r>
        </w:fldSimple>
      </w:p>
    </w:sdtContent>
  </w:sdt>
  <w:p w:rsidR="00157B8E" w:rsidRDefault="00157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756" w:rsidRDefault="00672756" w:rsidP="008E30C1">
      <w:pPr>
        <w:spacing w:after="0" w:line="240" w:lineRule="auto"/>
      </w:pPr>
      <w:r>
        <w:separator/>
      </w:r>
    </w:p>
  </w:footnote>
  <w:footnote w:type="continuationSeparator" w:id="0">
    <w:p w:rsidR="00672756" w:rsidRDefault="00672756" w:rsidP="008E30C1">
      <w:pPr>
        <w:spacing w:after="0" w:line="240" w:lineRule="auto"/>
      </w:pPr>
      <w:r>
        <w:continuationSeparator/>
      </w:r>
    </w:p>
  </w:footnote>
  <w:footnote w:id="1">
    <w:p w:rsidR="00157B8E" w:rsidRDefault="00157B8E">
      <w:pPr>
        <w:pStyle w:val="FootnoteText"/>
      </w:pPr>
      <w:r>
        <w:rPr>
          <w:rStyle w:val="FootnoteReference"/>
        </w:rPr>
        <w:footnoteRef/>
      </w:r>
      <w:r>
        <w:t xml:space="preserve"> For example, macroeconomic data on inflation and output are available on a yearly basis for all GCC countries except Saudi Arabia. Data on interest rates and unemployment are not available. Although stock trading began as far back as 1935 (Saudi Arabia), 1952 (Kuwait) and 1957 (Bahrain), electronic trading started in the late 1980s for Bahrain and Saudi Arabia, the mid- to late 1990s for Oman and Kuwait, and the early 2000s for the United Arab Emirates (UAE) and Qatar. For a chronology of the GCC stock market and its economic characteristics, see Bley and Chen (2006), and Arouri </w:t>
      </w:r>
      <w:r w:rsidRPr="00E1141E">
        <w:rPr>
          <w:i/>
        </w:rPr>
        <w:t>et al.</w:t>
      </w:r>
      <w:r>
        <w:t xml:space="preserve"> (2011).</w:t>
      </w:r>
    </w:p>
  </w:footnote>
  <w:footnote w:id="2">
    <w:p w:rsidR="00157B8E" w:rsidRPr="00DA38C8" w:rsidRDefault="00157B8E" w:rsidP="00DA38C8">
      <w:pPr>
        <w:pStyle w:val="FootnoteText"/>
      </w:pPr>
      <w:r>
        <w:rPr>
          <w:rStyle w:val="FootnoteReference"/>
        </w:rPr>
        <w:footnoteRef/>
      </w:r>
      <w:r>
        <w:t xml:space="preserve"> This line of research follows in the footsteps of Calvo </w:t>
      </w:r>
      <w:r w:rsidRPr="00E1141E">
        <w:rPr>
          <w:i/>
        </w:rPr>
        <w:t>et al.</w:t>
      </w:r>
      <w:r>
        <w:t xml:space="preserve"> (1993), Glick and Rose (1999), Masson (1999a, b, c), Dornbusch </w:t>
      </w:r>
      <w:r w:rsidRPr="00E1141E">
        <w:rPr>
          <w:i/>
        </w:rPr>
        <w:t>et al.</w:t>
      </w:r>
      <w:r>
        <w:t xml:space="preserve"> (2000), Forbes and Rigobon (2001, 2002), Hernandez </w:t>
      </w:r>
      <w:r w:rsidRPr="00E1141E">
        <w:rPr>
          <w:i/>
        </w:rPr>
        <w:t>et al.</w:t>
      </w:r>
      <w:r>
        <w:t xml:space="preserve"> (2001), Favero and Giavazzi (2002), Van Rijckeghem and Weder (2003), and Dungey </w:t>
      </w:r>
      <w:r w:rsidRPr="00E1141E">
        <w:rPr>
          <w:i/>
        </w:rPr>
        <w:t>et al.</w:t>
      </w:r>
      <w:r>
        <w:t xml:space="preserve"> (2005, 2006). </w:t>
      </w:r>
      <w:r w:rsidRPr="00DA38C8">
        <w:t xml:space="preserve">Sadorsky (1999) relied on an unrestricted VAR model and monthly data for the US to gauge the relationship between fuel oil prices and stock prices. His results show that both oil price return and volatility play an important role in the dynamics of real stock returns. </w:t>
      </w:r>
    </w:p>
    <w:p w:rsidR="00157B8E" w:rsidRDefault="00157B8E">
      <w:pPr>
        <w:pStyle w:val="FootnoteText"/>
      </w:pPr>
    </w:p>
  </w:footnote>
  <w:footnote w:id="3">
    <w:p w:rsidR="00157B8E" w:rsidRPr="00DA38C8" w:rsidRDefault="00157B8E" w:rsidP="00DA38C8">
      <w:pPr>
        <w:pStyle w:val="FootnoteText"/>
      </w:pPr>
      <w:r>
        <w:rPr>
          <w:rStyle w:val="FootnoteReference"/>
        </w:rPr>
        <w:footnoteRef/>
      </w:r>
      <w:r>
        <w:t xml:space="preserve"> </w:t>
      </w:r>
      <w:r w:rsidRPr="00DA38C8">
        <w:t xml:space="preserve">Although Basher and Sadorsky (2006) is one of the most comprehensive studies on the effects of oil price changes on emerging stock market returns, none of the GCC countries was incorporated in their study. </w:t>
      </w:r>
    </w:p>
    <w:p w:rsidR="00157B8E" w:rsidRDefault="00157B8E">
      <w:pPr>
        <w:pStyle w:val="FootnoteText"/>
      </w:pPr>
    </w:p>
  </w:footnote>
  <w:footnote w:id="4">
    <w:p w:rsidR="00157B8E" w:rsidRDefault="00157B8E" w:rsidP="005844A7">
      <w:pPr>
        <w:pStyle w:val="FootnoteText"/>
      </w:pPr>
      <w:r>
        <w:rPr>
          <w:rStyle w:val="FootnoteReference"/>
        </w:rPr>
        <w:footnoteRef/>
      </w:r>
      <w:r>
        <w:t xml:space="preserve"> Hammoudeh and Choi’s (2006) work on GCC markets was based on national stock market indices.  At the industry level, a number of studies have paved the way for Mohanty </w:t>
      </w:r>
      <w:r w:rsidRPr="00E1141E">
        <w:rPr>
          <w:i/>
        </w:rPr>
        <w:t>et al.</w:t>
      </w:r>
      <w:r>
        <w:t xml:space="preserve"> and our study, e.g. Huang </w:t>
      </w:r>
      <w:r w:rsidRPr="00E1141E">
        <w:rPr>
          <w:i/>
        </w:rPr>
        <w:t>et al.</w:t>
      </w:r>
      <w:r>
        <w:t xml:space="preserve"> (1996), Aleisa </w:t>
      </w:r>
      <w:r w:rsidRPr="00E1141E">
        <w:rPr>
          <w:i/>
        </w:rPr>
        <w:t>et al.</w:t>
      </w:r>
      <w:r w:rsidRPr="00D94461">
        <w:t xml:space="preserve"> (2003</w:t>
      </w:r>
      <w:r>
        <w:t xml:space="preserve">), </w:t>
      </w:r>
      <w:r w:rsidRPr="00D94461">
        <w:t>Hammoudeh and Li (2005)</w:t>
      </w:r>
      <w:r>
        <w:t xml:space="preserve">, and Mohanty and Nandha (2011) for the US; Faff and Brailsford (1999) for Australia; Sadorsky (2001) for Canada; Nandha and Faff (2008) for the global industries; and </w:t>
      </w:r>
      <w:r w:rsidRPr="005844A7">
        <w:t xml:space="preserve">Driesprong </w:t>
      </w:r>
      <w:r w:rsidRPr="00E1141E">
        <w:rPr>
          <w:i/>
        </w:rPr>
        <w:t>et al.</w:t>
      </w:r>
      <w:r>
        <w:t xml:space="preserve"> </w:t>
      </w:r>
      <w:r w:rsidRPr="005844A7">
        <w:t>(2008)</w:t>
      </w:r>
      <w:r>
        <w:t xml:space="preserve"> on 18 developed and 30 developing countries. The results are mixed and vary across industries.</w:t>
      </w:r>
    </w:p>
  </w:footnote>
  <w:footnote w:id="5">
    <w:p w:rsidR="00157B8E" w:rsidRDefault="00157B8E">
      <w:pPr>
        <w:pStyle w:val="FootnoteText"/>
      </w:pPr>
      <w:r>
        <w:rPr>
          <w:rStyle w:val="FootnoteReference"/>
        </w:rPr>
        <w:footnoteRef/>
      </w:r>
      <w:r>
        <w:t xml:space="preserve"> The motivation here is to avoid spurious synchronicity. Two variables may co-move just because of luck. Our contention is that for synchronicity to be meaningful, the dynamics of both variables must be driven by a common factor. This is pretty much the idea embodied in cointegration and correlation analyses. </w:t>
      </w:r>
    </w:p>
  </w:footnote>
  <w:footnote w:id="6">
    <w:p w:rsidR="00157B8E" w:rsidRPr="00211D3C" w:rsidRDefault="00157B8E" w:rsidP="00BB55BE">
      <w:pPr>
        <w:autoSpaceDE w:val="0"/>
        <w:autoSpaceDN w:val="0"/>
        <w:adjustRightInd w:val="0"/>
        <w:spacing w:after="0" w:line="240" w:lineRule="auto"/>
        <w:rPr>
          <w:sz w:val="20"/>
          <w:szCs w:val="20"/>
        </w:rPr>
      </w:pPr>
      <w:r>
        <w:rPr>
          <w:rStyle w:val="FootnoteReference"/>
        </w:rPr>
        <w:footnoteRef/>
      </w:r>
      <w:r>
        <w:t xml:space="preserve"> </w:t>
      </w:r>
      <w:r w:rsidRPr="00E1141E">
        <w:rPr>
          <w:sz w:val="20"/>
          <w:szCs w:val="20"/>
        </w:rPr>
        <w:t>Other contributors to the development and applications of</w:t>
      </w:r>
      <w:r>
        <w:t xml:space="preserve"> </w:t>
      </w:r>
      <w:r>
        <w:rPr>
          <w:rFonts w:cs="NimbusRomNo9L-Regu"/>
          <w:color w:val="000000"/>
          <w:sz w:val="20"/>
          <w:szCs w:val="20"/>
        </w:rPr>
        <w:t>d</w:t>
      </w:r>
      <w:r w:rsidRPr="00211D3C">
        <w:rPr>
          <w:rFonts w:cs="NimbusRomNo9L-Regu"/>
          <w:color w:val="000000"/>
          <w:sz w:val="20"/>
          <w:szCs w:val="20"/>
        </w:rPr>
        <w:t xml:space="preserve">ynamic-factor models include </w:t>
      </w:r>
      <w:r w:rsidRPr="00211D3C">
        <w:rPr>
          <w:rFonts w:cs="NimbusRomNo9L-Regu"/>
          <w:sz w:val="20"/>
          <w:szCs w:val="20"/>
        </w:rPr>
        <w:t>Geweke (1977), Sargent and Sims (1977), and Watson and Engle (1983).</w:t>
      </w:r>
    </w:p>
  </w:footnote>
  <w:footnote w:id="7">
    <w:p w:rsidR="00157B8E" w:rsidRDefault="00157B8E">
      <w:pPr>
        <w:pStyle w:val="FootnoteText"/>
      </w:pPr>
      <w:r>
        <w:rPr>
          <w:rStyle w:val="FootnoteReference"/>
        </w:rPr>
        <w:footnoteRef/>
      </w:r>
      <w:r>
        <w:t xml:space="preserve"> A mild association of the 50-day volatility cycles is noted for the Dubai Financial Market (DFM) and the Abu Dhabi Exchange (ADX). The ADX is also more sensitive to oil price disturbances than the DFM. </w:t>
      </w:r>
    </w:p>
  </w:footnote>
  <w:footnote w:id="8">
    <w:p w:rsidR="00157B8E" w:rsidRDefault="00157B8E">
      <w:pPr>
        <w:pStyle w:val="FootnoteText"/>
      </w:pPr>
      <w:r>
        <w:rPr>
          <w:rStyle w:val="FootnoteReference"/>
        </w:rPr>
        <w:footnoteRef/>
      </w:r>
      <w:r>
        <w:t xml:space="preserve"> The notion of decomposing returns into a trend and a cycle is in line with market participants’ behavior towards risks and returns. Some investors purchase shares for retirement or as long-term investments and therefore are not concerned with day-to-day fluctuations in stock prices. Their goals are to collect dividends over time while waiting for the share price to reach a certain level. Others, however, make a living off the market by monitoring share prices closely.  The interested reader is referred to Kim and Kim (1996), and Bhar and Hamori (2004) for similar decomposition of returns using the Markov-switching heteroschedasticity technique and for a short survey of this literature.</w:t>
      </w:r>
    </w:p>
  </w:footnote>
  <w:footnote w:id="9">
    <w:p w:rsidR="00157B8E" w:rsidRDefault="00157B8E">
      <w:pPr>
        <w:pStyle w:val="FootnoteText"/>
      </w:pPr>
      <w:r>
        <w:rPr>
          <w:rStyle w:val="FootnoteReference"/>
        </w:rPr>
        <w:footnoteRef/>
      </w:r>
      <w:r>
        <w:t xml:space="preserve"> It is worth noting that the variable </w:t>
      </w:r>
      <w:r w:rsidRPr="00E1141E">
        <w:rPr>
          <w:i/>
        </w:rPr>
        <w:t>Y</w:t>
      </w:r>
      <w:r>
        <w:t xml:space="preserve"> stands for either oil price or stock market returns/volatilities here.</w:t>
      </w:r>
    </w:p>
  </w:footnote>
  <w:footnote w:id="10">
    <w:p w:rsidR="00157B8E" w:rsidRDefault="00157B8E">
      <w:pPr>
        <w:pStyle w:val="FootnoteText"/>
      </w:pPr>
      <w:r>
        <w:rPr>
          <w:rStyle w:val="FootnoteReference"/>
        </w:rPr>
        <w:footnoteRef/>
      </w:r>
      <w:r>
        <w:t xml:space="preserve"> We have found a way to circumvent this shortcoming and have introduced modifications to the existing techniques in a companion working paper. </w:t>
      </w:r>
    </w:p>
  </w:footnote>
  <w:footnote w:id="11">
    <w:p w:rsidR="00157B8E" w:rsidRDefault="00157B8E" w:rsidP="00E91455">
      <w:pPr>
        <w:pStyle w:val="FootnoteText"/>
      </w:pPr>
      <w:r>
        <w:rPr>
          <w:rStyle w:val="FootnoteReference"/>
        </w:rPr>
        <w:footnoteRef/>
      </w:r>
      <w:r>
        <w:t xml:space="preserve"> The methodology of our paper is similar to Basher’s (2010), but the nature and scope of our work is different. Basher’s investigation into the decoupling of the oil sector from the non-oil sector covers only three of the six GCC countries (Kuwait, Qatar, and Saudi Arabia) for the real sector, whereas our paper, which focuses on the financial sector, covers</w:t>
      </w:r>
      <w:r w:rsidRPr="0028155C">
        <w:t xml:space="preserve"> </w:t>
      </w:r>
      <w:r>
        <w:t xml:space="preserve">the aggregate GCC sectors, individual stock sectors and the country-level stock index for each of the six countries. </w:t>
      </w:r>
    </w:p>
  </w:footnote>
  <w:footnote w:id="12">
    <w:p w:rsidR="00157B8E" w:rsidRDefault="00157B8E">
      <w:pPr>
        <w:pStyle w:val="FootnoteText"/>
      </w:pPr>
      <w:r>
        <w:rPr>
          <w:rStyle w:val="FootnoteReference"/>
        </w:rPr>
        <w:footnoteRef/>
      </w:r>
      <w:r>
        <w:t xml:space="preserve"> The benchmarks are not always mutually exclusive in that the overall synchronicity measure can still be classified as low, mild or strong. The same applies for the average synchronicity measure.</w:t>
      </w:r>
    </w:p>
  </w:footnote>
  <w:footnote w:id="13">
    <w:p w:rsidR="00157B8E" w:rsidRPr="00F2404C" w:rsidRDefault="00157B8E">
      <w:pPr>
        <w:pStyle w:val="FootnoteText"/>
        <w:rPr>
          <w:lang w:val="en-NZ"/>
        </w:rPr>
      </w:pPr>
      <w:r>
        <w:rPr>
          <w:rStyle w:val="FootnoteReference"/>
        </w:rPr>
        <w:footnoteRef/>
      </w:r>
      <w:r>
        <w:t xml:space="preserve"> </w:t>
      </w:r>
      <w:r>
        <w:rPr>
          <w:rFonts w:ascii="Calibri" w:hAnsi="Calibri"/>
          <w:color w:val="000000"/>
        </w:rPr>
        <w:t>The data span for each of these countries respectively begin on 30 June 2004, 31 March 2004, 1 June 1999, 14 May 2001, 19 April 2007, 27 August 2007 and 1 January 2007, and end on 31 December 2010.</w:t>
      </w:r>
    </w:p>
  </w:footnote>
  <w:footnote w:id="14">
    <w:p w:rsidR="00157B8E" w:rsidRDefault="00157B8E">
      <w:pPr>
        <w:pStyle w:val="FootnoteText"/>
      </w:pPr>
      <w:r>
        <w:rPr>
          <w:rStyle w:val="FootnoteReference"/>
        </w:rPr>
        <w:footnoteRef/>
      </w:r>
      <w:r>
        <w:t xml:space="preserve"> We use standard GARCH (1, 1) to measure volatility in a follow-up paper. We could not incorporate these results in this paper due to space limitations.</w:t>
      </w:r>
    </w:p>
  </w:footnote>
  <w:footnote w:id="15">
    <w:p w:rsidR="00157B8E" w:rsidRDefault="00157B8E">
      <w:pPr>
        <w:pStyle w:val="FootnoteText"/>
      </w:pPr>
      <w:r>
        <w:rPr>
          <w:rStyle w:val="FootnoteReference"/>
        </w:rPr>
        <w:footnoteRef/>
      </w:r>
      <w:r>
        <w:t xml:space="preserve"> This finding complements Arouri and Rault’s (2010) findings that were based on weekly and monthly data.</w:t>
      </w:r>
    </w:p>
  </w:footnote>
  <w:footnote w:id="16">
    <w:p w:rsidR="00157B8E" w:rsidRDefault="00157B8E">
      <w:pPr>
        <w:pStyle w:val="FootnoteText"/>
      </w:pPr>
      <w:r>
        <w:rPr>
          <w:rStyle w:val="FootnoteReference"/>
        </w:rPr>
        <w:footnoteRef/>
      </w:r>
      <w:r>
        <w:t xml:space="preserve"> Although we were able to estimate all four types of models for the return, due to space constraints, we only presents resulting pertaining to the estimation of Model 3, which is equivalent to Model 4 when α=0. These are the most complete models of all. However, when it comes to assessing the importance of oil price returns, we use common factors from all four models. Dynamic factor results based on Models 1, 2, and 4 are available upon request. Kuwait was left out in the estimation of most models because of non-convergence of the algorithm.</w:t>
      </w:r>
    </w:p>
  </w:footnote>
  <w:footnote w:id="17">
    <w:p w:rsidR="00157B8E" w:rsidRPr="00C9634E" w:rsidRDefault="00157B8E" w:rsidP="00C9634E">
      <w:pPr>
        <w:pStyle w:val="FootnoteText"/>
        <w:rPr>
          <w:sz w:val="16"/>
          <w:szCs w:val="16"/>
        </w:rPr>
      </w:pPr>
      <w:r w:rsidRPr="00F31158">
        <w:rPr>
          <w:rStyle w:val="FootnoteReference"/>
          <w:sz w:val="16"/>
          <w:szCs w:val="16"/>
        </w:rPr>
        <w:footnoteRef/>
      </w:r>
      <w:r w:rsidRPr="00F31158">
        <w:rPr>
          <w:sz w:val="16"/>
          <w:szCs w:val="16"/>
        </w:rPr>
        <w:t xml:space="preserve"> With respect to the negative signs, the Technical Note of the Time Series Manual of Stata 11 p. 93 </w:t>
      </w:r>
      <w:r>
        <w:rPr>
          <w:sz w:val="16"/>
          <w:szCs w:val="16"/>
        </w:rPr>
        <w:t>states</w:t>
      </w:r>
      <w:r w:rsidRPr="00F31158">
        <w:rPr>
          <w:sz w:val="16"/>
          <w:szCs w:val="16"/>
        </w:rPr>
        <w:t xml:space="preserve"> the following</w:t>
      </w:r>
      <w:r>
        <w:t>: “</w:t>
      </w:r>
      <w:r w:rsidRPr="00C9634E">
        <w:rPr>
          <w:sz w:val="16"/>
          <w:szCs w:val="16"/>
        </w:rPr>
        <w:t>The signs of the coefficients on the unobserved factors are not identified. They are not identified</w:t>
      </w:r>
      <w:r>
        <w:rPr>
          <w:sz w:val="16"/>
          <w:szCs w:val="16"/>
        </w:rPr>
        <w:t xml:space="preserve"> </w:t>
      </w:r>
      <w:r w:rsidRPr="00C9634E">
        <w:rPr>
          <w:sz w:val="16"/>
          <w:szCs w:val="16"/>
        </w:rPr>
        <w:t>because we can multiply the unobserved factors and the coefficients on the unobserved factors by</w:t>
      </w:r>
      <w:r>
        <w:rPr>
          <w:sz w:val="16"/>
          <w:szCs w:val="16"/>
        </w:rPr>
        <w:t xml:space="preserve"> </w:t>
      </w:r>
      <w:r w:rsidRPr="00C9634E">
        <w:rPr>
          <w:sz w:val="16"/>
          <w:szCs w:val="16"/>
        </w:rPr>
        <w:t>negative one without changing the log likelihood or any of the model predictions.</w:t>
      </w:r>
      <w:r>
        <w:rPr>
          <w:sz w:val="16"/>
          <w:szCs w:val="16"/>
        </w:rPr>
        <w:t xml:space="preserve"> </w:t>
      </w:r>
      <w:r w:rsidRPr="00C9634E">
        <w:rPr>
          <w:sz w:val="16"/>
          <w:szCs w:val="16"/>
        </w:rPr>
        <w:t>Altering either the starting values for the maximization process, the maximization technique</w:t>
      </w:r>
      <w:r>
        <w:rPr>
          <w:sz w:val="16"/>
          <w:szCs w:val="16"/>
        </w:rPr>
        <w:t xml:space="preserve"> </w:t>
      </w:r>
      <w:r w:rsidRPr="00C9634E">
        <w:rPr>
          <w:sz w:val="16"/>
          <w:szCs w:val="16"/>
        </w:rPr>
        <w:t>used, or the platform on which the command is run can cause the signs of the estimated coefficients</w:t>
      </w:r>
      <w:r>
        <w:rPr>
          <w:sz w:val="16"/>
          <w:szCs w:val="16"/>
        </w:rPr>
        <w:t xml:space="preserve"> </w:t>
      </w:r>
      <w:r w:rsidRPr="00C9634E">
        <w:rPr>
          <w:sz w:val="16"/>
          <w:szCs w:val="16"/>
        </w:rPr>
        <w:t>on the unobserved factors to change.</w:t>
      </w:r>
      <w:r>
        <w:rPr>
          <w:sz w:val="16"/>
          <w:szCs w:val="16"/>
        </w:rPr>
        <w:t xml:space="preserve"> </w:t>
      </w:r>
      <w:r w:rsidRPr="00C9634E">
        <w:rPr>
          <w:sz w:val="16"/>
          <w:szCs w:val="16"/>
        </w:rPr>
        <w:t>Changes in the signs of the estimated coefficients on the unobserved factors do not alter the</w:t>
      </w:r>
      <w:r>
        <w:rPr>
          <w:sz w:val="16"/>
          <w:szCs w:val="16"/>
        </w:rPr>
        <w:t xml:space="preserve"> </w:t>
      </w:r>
      <w:r w:rsidRPr="00C9634E">
        <w:rPr>
          <w:sz w:val="16"/>
          <w:szCs w:val="16"/>
        </w:rPr>
        <w:t>implications of the model or the model predictions.</w:t>
      </w:r>
      <w:r>
        <w:rPr>
          <w:sz w:val="16"/>
          <w:szCs w:val="16"/>
        </w:rPr>
        <w:t>”</w:t>
      </w:r>
    </w:p>
  </w:footnote>
  <w:footnote w:id="18">
    <w:p w:rsidR="00157B8E" w:rsidRPr="000C1364" w:rsidRDefault="00157B8E">
      <w:pPr>
        <w:pStyle w:val="FootnoteText"/>
        <w:rPr>
          <w:sz w:val="16"/>
          <w:szCs w:val="16"/>
        </w:rPr>
      </w:pPr>
      <w:r>
        <w:rPr>
          <w:rStyle w:val="FootnoteReference"/>
        </w:rPr>
        <w:footnoteRef/>
      </w:r>
      <w:r>
        <w:t xml:space="preserve"> </w:t>
      </w:r>
      <w:r w:rsidRPr="000C1364">
        <w:rPr>
          <w:sz w:val="16"/>
          <w:szCs w:val="16"/>
        </w:rPr>
        <w:t>Our results are in line with Rao’s</w:t>
      </w:r>
      <w:r>
        <w:rPr>
          <w:sz w:val="16"/>
          <w:szCs w:val="16"/>
        </w:rPr>
        <w:t xml:space="preserve"> </w:t>
      </w:r>
      <w:r w:rsidRPr="000C1364">
        <w:rPr>
          <w:sz w:val="16"/>
          <w:szCs w:val="16"/>
        </w:rPr>
        <w:t xml:space="preserve">(2008) findings that volatility in the GCC markets is quite persistent. However, we could not assert </w:t>
      </w:r>
      <w:r>
        <w:rPr>
          <w:sz w:val="16"/>
          <w:szCs w:val="16"/>
        </w:rPr>
        <w:t>Rao’s</w:t>
      </w:r>
      <w:r w:rsidRPr="000C1364">
        <w:rPr>
          <w:sz w:val="16"/>
          <w:szCs w:val="16"/>
        </w:rPr>
        <w:t xml:space="preserve"> claim that the bulk of it originates from the domestic market because we did not incorporate foreign market volatilities in our study. This is a matter for further research. </w:t>
      </w:r>
    </w:p>
  </w:footnote>
  <w:footnote w:id="19">
    <w:p w:rsidR="00157B8E" w:rsidRPr="00173718" w:rsidRDefault="00157B8E">
      <w:pPr>
        <w:pStyle w:val="FootnoteText"/>
        <w:rPr>
          <w:sz w:val="16"/>
          <w:szCs w:val="16"/>
        </w:rPr>
      </w:pPr>
      <w:r>
        <w:rPr>
          <w:rStyle w:val="FootnoteReference"/>
        </w:rPr>
        <w:footnoteRef/>
      </w:r>
      <w:r>
        <w:t xml:space="preserve"> </w:t>
      </w:r>
      <w:r>
        <w:rPr>
          <w:sz w:val="16"/>
          <w:szCs w:val="16"/>
        </w:rPr>
        <w:t>It is important to note that the common factors used as dependent variables are related to stock price returns not stock price return volatility, because we could not find a single model that works for all countries or groupings. Also, since we report only coefficient that are statistically significant, models that are not listed in Tables 13 and 14 did not deliver such coefficients when we regress their common factors on  either the oil price return or volatility.</w:t>
      </w:r>
    </w:p>
  </w:footnote>
  <w:footnote w:id="20">
    <w:p w:rsidR="00157B8E" w:rsidRDefault="00157B8E">
      <w:pPr>
        <w:pStyle w:val="FootnoteText"/>
      </w:pPr>
      <w:r>
        <w:rPr>
          <w:rStyle w:val="FootnoteReference"/>
        </w:rPr>
        <w:footnoteRef/>
      </w:r>
      <w:r>
        <w:t xml:space="preserve"> </w:t>
      </w:r>
      <w:r w:rsidRPr="00E1141E">
        <w:rPr>
          <w:sz w:val="16"/>
          <w:szCs w:val="16"/>
        </w:rPr>
        <w:t>Pairwise correlations among the industry-based common factors show a negative relationship between UAE–Dubai and the rest of the GCC markets. Therefore, the UAE–Dubai common factor was dropped, along with Kuwait, for which a common factor could not be estimated due to algorithm nonconvergence issues. The common factor used for each country comes from Model 2. The results do not differ much when common factors from other models are used instead.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42B1F"/>
    <w:multiLevelType w:val="hybridMultilevel"/>
    <w:tmpl w:val="074EA3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E5E39ED"/>
    <w:multiLevelType w:val="hybridMultilevel"/>
    <w:tmpl w:val="DF1E1A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33A144C"/>
    <w:multiLevelType w:val="hybridMultilevel"/>
    <w:tmpl w:val="1656497C"/>
    <w:lvl w:ilvl="0" w:tplc="126037FC">
      <w:start w:val="1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AF1D75"/>
    <w:multiLevelType w:val="hybridMultilevel"/>
    <w:tmpl w:val="A02410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E5F791A"/>
    <w:multiLevelType w:val="hybridMultilevel"/>
    <w:tmpl w:val="61B279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1D967A0"/>
    <w:multiLevelType w:val="hybridMultilevel"/>
    <w:tmpl w:val="47E23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6C2A575A"/>
    <w:multiLevelType w:val="hybridMultilevel"/>
    <w:tmpl w:val="DA50E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7474F"/>
    <w:rsid w:val="00001EF3"/>
    <w:rsid w:val="00006E5D"/>
    <w:rsid w:val="000153BC"/>
    <w:rsid w:val="000253EC"/>
    <w:rsid w:val="000262AB"/>
    <w:rsid w:val="00026FE8"/>
    <w:rsid w:val="00027B3F"/>
    <w:rsid w:val="00030F96"/>
    <w:rsid w:val="00033D9B"/>
    <w:rsid w:val="00034A4C"/>
    <w:rsid w:val="00042A16"/>
    <w:rsid w:val="000443FB"/>
    <w:rsid w:val="000463FA"/>
    <w:rsid w:val="000464B7"/>
    <w:rsid w:val="0004764C"/>
    <w:rsid w:val="000503DA"/>
    <w:rsid w:val="0005048D"/>
    <w:rsid w:val="00056F37"/>
    <w:rsid w:val="00060FF3"/>
    <w:rsid w:val="00067BB5"/>
    <w:rsid w:val="0007206E"/>
    <w:rsid w:val="000876C3"/>
    <w:rsid w:val="00090362"/>
    <w:rsid w:val="00093DB8"/>
    <w:rsid w:val="0009520C"/>
    <w:rsid w:val="00096035"/>
    <w:rsid w:val="000962B4"/>
    <w:rsid w:val="000A0EDC"/>
    <w:rsid w:val="000B0117"/>
    <w:rsid w:val="000B272C"/>
    <w:rsid w:val="000B2B6F"/>
    <w:rsid w:val="000B52F5"/>
    <w:rsid w:val="000B5C59"/>
    <w:rsid w:val="000B753B"/>
    <w:rsid w:val="000C1364"/>
    <w:rsid w:val="000C1CFF"/>
    <w:rsid w:val="000C29ED"/>
    <w:rsid w:val="000C3D8B"/>
    <w:rsid w:val="000C3ED1"/>
    <w:rsid w:val="000C4E42"/>
    <w:rsid w:val="000C69A7"/>
    <w:rsid w:val="000C7A20"/>
    <w:rsid w:val="000C7DFD"/>
    <w:rsid w:val="000D57AA"/>
    <w:rsid w:val="000D70AF"/>
    <w:rsid w:val="000E5B72"/>
    <w:rsid w:val="000E7346"/>
    <w:rsid w:val="000F0028"/>
    <w:rsid w:val="000F3515"/>
    <w:rsid w:val="000F4A1C"/>
    <w:rsid w:val="000F4F66"/>
    <w:rsid w:val="000F79F2"/>
    <w:rsid w:val="00101139"/>
    <w:rsid w:val="00103A15"/>
    <w:rsid w:val="00114985"/>
    <w:rsid w:val="001200C1"/>
    <w:rsid w:val="00125707"/>
    <w:rsid w:val="00126F78"/>
    <w:rsid w:val="001274A0"/>
    <w:rsid w:val="00130989"/>
    <w:rsid w:val="001361A6"/>
    <w:rsid w:val="00151398"/>
    <w:rsid w:val="0015411C"/>
    <w:rsid w:val="00157B8E"/>
    <w:rsid w:val="001642DC"/>
    <w:rsid w:val="00165043"/>
    <w:rsid w:val="00173718"/>
    <w:rsid w:val="0017713E"/>
    <w:rsid w:val="0018335C"/>
    <w:rsid w:val="0019313A"/>
    <w:rsid w:val="00196A55"/>
    <w:rsid w:val="001A5063"/>
    <w:rsid w:val="001B5511"/>
    <w:rsid w:val="001B5AD4"/>
    <w:rsid w:val="001C1578"/>
    <w:rsid w:val="001C2BD1"/>
    <w:rsid w:val="001C3EE8"/>
    <w:rsid w:val="001C4EF2"/>
    <w:rsid w:val="001C57C9"/>
    <w:rsid w:val="001D14F0"/>
    <w:rsid w:val="001D4329"/>
    <w:rsid w:val="001D7657"/>
    <w:rsid w:val="001E09F8"/>
    <w:rsid w:val="001E1D19"/>
    <w:rsid w:val="001E2CA3"/>
    <w:rsid w:val="001E467D"/>
    <w:rsid w:val="001E4D1A"/>
    <w:rsid w:val="001F2CB8"/>
    <w:rsid w:val="001F4564"/>
    <w:rsid w:val="0020635D"/>
    <w:rsid w:val="002111D5"/>
    <w:rsid w:val="00211D3C"/>
    <w:rsid w:val="00215CAE"/>
    <w:rsid w:val="00217CFA"/>
    <w:rsid w:val="00221802"/>
    <w:rsid w:val="00221CDE"/>
    <w:rsid w:val="00233409"/>
    <w:rsid w:val="00233B12"/>
    <w:rsid w:val="00234216"/>
    <w:rsid w:val="00242FB7"/>
    <w:rsid w:val="00261138"/>
    <w:rsid w:val="0026411B"/>
    <w:rsid w:val="0026475D"/>
    <w:rsid w:val="00264EE7"/>
    <w:rsid w:val="0028155C"/>
    <w:rsid w:val="00281A9E"/>
    <w:rsid w:val="00282290"/>
    <w:rsid w:val="00284D41"/>
    <w:rsid w:val="00286D17"/>
    <w:rsid w:val="00291EF8"/>
    <w:rsid w:val="0029393C"/>
    <w:rsid w:val="002A33A9"/>
    <w:rsid w:val="002A7B3E"/>
    <w:rsid w:val="002B3976"/>
    <w:rsid w:val="002B7833"/>
    <w:rsid w:val="002C2B30"/>
    <w:rsid w:val="002C55F9"/>
    <w:rsid w:val="002D3071"/>
    <w:rsid w:val="002E4985"/>
    <w:rsid w:val="002F1B4B"/>
    <w:rsid w:val="002F1C3F"/>
    <w:rsid w:val="002F7B68"/>
    <w:rsid w:val="00310246"/>
    <w:rsid w:val="00314588"/>
    <w:rsid w:val="00315DFB"/>
    <w:rsid w:val="00316D12"/>
    <w:rsid w:val="00317D20"/>
    <w:rsid w:val="00321BA3"/>
    <w:rsid w:val="00323DFD"/>
    <w:rsid w:val="0032664D"/>
    <w:rsid w:val="0032760C"/>
    <w:rsid w:val="003317A6"/>
    <w:rsid w:val="003319BC"/>
    <w:rsid w:val="0033523A"/>
    <w:rsid w:val="00336309"/>
    <w:rsid w:val="00337A16"/>
    <w:rsid w:val="0034422B"/>
    <w:rsid w:val="00344BFF"/>
    <w:rsid w:val="00346078"/>
    <w:rsid w:val="0034675D"/>
    <w:rsid w:val="00347F7C"/>
    <w:rsid w:val="00351189"/>
    <w:rsid w:val="003523C8"/>
    <w:rsid w:val="00361A24"/>
    <w:rsid w:val="003634EB"/>
    <w:rsid w:val="00363877"/>
    <w:rsid w:val="00365B7E"/>
    <w:rsid w:val="003709DE"/>
    <w:rsid w:val="003730D4"/>
    <w:rsid w:val="003738DF"/>
    <w:rsid w:val="00374FE0"/>
    <w:rsid w:val="003767AC"/>
    <w:rsid w:val="0037787E"/>
    <w:rsid w:val="0038466C"/>
    <w:rsid w:val="00385327"/>
    <w:rsid w:val="003876A9"/>
    <w:rsid w:val="003903EA"/>
    <w:rsid w:val="00394A29"/>
    <w:rsid w:val="003A130D"/>
    <w:rsid w:val="003A1325"/>
    <w:rsid w:val="003A463B"/>
    <w:rsid w:val="003B233D"/>
    <w:rsid w:val="003B52B7"/>
    <w:rsid w:val="003B73D2"/>
    <w:rsid w:val="003C0D65"/>
    <w:rsid w:val="003D12D3"/>
    <w:rsid w:val="003D2C77"/>
    <w:rsid w:val="003D323F"/>
    <w:rsid w:val="003D4F08"/>
    <w:rsid w:val="003D534B"/>
    <w:rsid w:val="003E0168"/>
    <w:rsid w:val="003E1B3E"/>
    <w:rsid w:val="003E5435"/>
    <w:rsid w:val="00401A4D"/>
    <w:rsid w:val="00406EA4"/>
    <w:rsid w:val="004123B7"/>
    <w:rsid w:val="004134A8"/>
    <w:rsid w:val="004156B3"/>
    <w:rsid w:val="00420319"/>
    <w:rsid w:val="00420F33"/>
    <w:rsid w:val="00427142"/>
    <w:rsid w:val="00427A9F"/>
    <w:rsid w:val="0044243E"/>
    <w:rsid w:val="00446C28"/>
    <w:rsid w:val="00447F51"/>
    <w:rsid w:val="00452959"/>
    <w:rsid w:val="00452B1D"/>
    <w:rsid w:val="00455144"/>
    <w:rsid w:val="004558C4"/>
    <w:rsid w:val="004568A6"/>
    <w:rsid w:val="00467EFA"/>
    <w:rsid w:val="0047148C"/>
    <w:rsid w:val="0048126E"/>
    <w:rsid w:val="00481DC6"/>
    <w:rsid w:val="00483863"/>
    <w:rsid w:val="004843C9"/>
    <w:rsid w:val="004854F8"/>
    <w:rsid w:val="00486FED"/>
    <w:rsid w:val="004A2037"/>
    <w:rsid w:val="004A4961"/>
    <w:rsid w:val="004B13B7"/>
    <w:rsid w:val="004B5722"/>
    <w:rsid w:val="004B595F"/>
    <w:rsid w:val="004B5EAA"/>
    <w:rsid w:val="004C15EF"/>
    <w:rsid w:val="004D285B"/>
    <w:rsid w:val="004F22FF"/>
    <w:rsid w:val="004F365C"/>
    <w:rsid w:val="004F377C"/>
    <w:rsid w:val="004F5948"/>
    <w:rsid w:val="004F6E7E"/>
    <w:rsid w:val="004F74E5"/>
    <w:rsid w:val="004F75FB"/>
    <w:rsid w:val="004F7A43"/>
    <w:rsid w:val="00504C0D"/>
    <w:rsid w:val="00511AF9"/>
    <w:rsid w:val="005145D0"/>
    <w:rsid w:val="00514AF0"/>
    <w:rsid w:val="005155F9"/>
    <w:rsid w:val="00521378"/>
    <w:rsid w:val="00522B06"/>
    <w:rsid w:val="00522C1D"/>
    <w:rsid w:val="00523CA6"/>
    <w:rsid w:val="005243BE"/>
    <w:rsid w:val="00524844"/>
    <w:rsid w:val="005266FA"/>
    <w:rsid w:val="00530F94"/>
    <w:rsid w:val="00531E10"/>
    <w:rsid w:val="00534290"/>
    <w:rsid w:val="005346B3"/>
    <w:rsid w:val="00535159"/>
    <w:rsid w:val="0054377A"/>
    <w:rsid w:val="005512C4"/>
    <w:rsid w:val="00552CD7"/>
    <w:rsid w:val="00554704"/>
    <w:rsid w:val="005552AB"/>
    <w:rsid w:val="00563665"/>
    <w:rsid w:val="00564E9E"/>
    <w:rsid w:val="005654C8"/>
    <w:rsid w:val="0056692B"/>
    <w:rsid w:val="005674F2"/>
    <w:rsid w:val="005718EF"/>
    <w:rsid w:val="00574B86"/>
    <w:rsid w:val="00574F06"/>
    <w:rsid w:val="00575105"/>
    <w:rsid w:val="005764FE"/>
    <w:rsid w:val="0057714D"/>
    <w:rsid w:val="0058047C"/>
    <w:rsid w:val="005808E0"/>
    <w:rsid w:val="005844A7"/>
    <w:rsid w:val="005875FF"/>
    <w:rsid w:val="00590535"/>
    <w:rsid w:val="005939A8"/>
    <w:rsid w:val="00595C59"/>
    <w:rsid w:val="0059722B"/>
    <w:rsid w:val="005A2C4C"/>
    <w:rsid w:val="005A3A8E"/>
    <w:rsid w:val="005A4B51"/>
    <w:rsid w:val="005B5F74"/>
    <w:rsid w:val="005C1892"/>
    <w:rsid w:val="005C2800"/>
    <w:rsid w:val="005C2882"/>
    <w:rsid w:val="005C2EDD"/>
    <w:rsid w:val="005C48DA"/>
    <w:rsid w:val="005C593A"/>
    <w:rsid w:val="005D1688"/>
    <w:rsid w:val="005D1720"/>
    <w:rsid w:val="005D17D7"/>
    <w:rsid w:val="005D1C77"/>
    <w:rsid w:val="005E06CB"/>
    <w:rsid w:val="005E0C84"/>
    <w:rsid w:val="005E1DAB"/>
    <w:rsid w:val="005E6E47"/>
    <w:rsid w:val="005F2E0E"/>
    <w:rsid w:val="005F7701"/>
    <w:rsid w:val="00600634"/>
    <w:rsid w:val="006008AD"/>
    <w:rsid w:val="00601386"/>
    <w:rsid w:val="006030E6"/>
    <w:rsid w:val="006040A8"/>
    <w:rsid w:val="00604C2B"/>
    <w:rsid w:val="006052EE"/>
    <w:rsid w:val="006071B4"/>
    <w:rsid w:val="00607389"/>
    <w:rsid w:val="00612ECA"/>
    <w:rsid w:val="006130AB"/>
    <w:rsid w:val="0063202A"/>
    <w:rsid w:val="00635FE8"/>
    <w:rsid w:val="006362F6"/>
    <w:rsid w:val="0063757E"/>
    <w:rsid w:val="00640B49"/>
    <w:rsid w:val="006430D7"/>
    <w:rsid w:val="0065040C"/>
    <w:rsid w:val="006513D0"/>
    <w:rsid w:val="00655B2A"/>
    <w:rsid w:val="006614EE"/>
    <w:rsid w:val="00670D45"/>
    <w:rsid w:val="006720AC"/>
    <w:rsid w:val="00672756"/>
    <w:rsid w:val="00674202"/>
    <w:rsid w:val="0067678F"/>
    <w:rsid w:val="00681547"/>
    <w:rsid w:val="00684433"/>
    <w:rsid w:val="00691FD7"/>
    <w:rsid w:val="00692B30"/>
    <w:rsid w:val="0069392F"/>
    <w:rsid w:val="00696894"/>
    <w:rsid w:val="006B2471"/>
    <w:rsid w:val="006B63B3"/>
    <w:rsid w:val="006C5376"/>
    <w:rsid w:val="006C7905"/>
    <w:rsid w:val="006D5A4A"/>
    <w:rsid w:val="006E32FC"/>
    <w:rsid w:val="006F479A"/>
    <w:rsid w:val="006F5B6C"/>
    <w:rsid w:val="006F64AD"/>
    <w:rsid w:val="0070123E"/>
    <w:rsid w:val="00703447"/>
    <w:rsid w:val="00713767"/>
    <w:rsid w:val="007150A1"/>
    <w:rsid w:val="007218A3"/>
    <w:rsid w:val="00725267"/>
    <w:rsid w:val="00732CE4"/>
    <w:rsid w:val="00737732"/>
    <w:rsid w:val="0074092B"/>
    <w:rsid w:val="00743E08"/>
    <w:rsid w:val="007522E0"/>
    <w:rsid w:val="007532DF"/>
    <w:rsid w:val="007564F6"/>
    <w:rsid w:val="00762924"/>
    <w:rsid w:val="00765C21"/>
    <w:rsid w:val="007669F1"/>
    <w:rsid w:val="007767DE"/>
    <w:rsid w:val="00777A67"/>
    <w:rsid w:val="00780E34"/>
    <w:rsid w:val="007821FE"/>
    <w:rsid w:val="00783C4D"/>
    <w:rsid w:val="00784528"/>
    <w:rsid w:val="00785688"/>
    <w:rsid w:val="0078569A"/>
    <w:rsid w:val="00785AB4"/>
    <w:rsid w:val="007A13C9"/>
    <w:rsid w:val="007A26AF"/>
    <w:rsid w:val="007A4518"/>
    <w:rsid w:val="007A6193"/>
    <w:rsid w:val="007A672D"/>
    <w:rsid w:val="007C1EAB"/>
    <w:rsid w:val="007D4B58"/>
    <w:rsid w:val="007D7160"/>
    <w:rsid w:val="007E6AAD"/>
    <w:rsid w:val="007F53AA"/>
    <w:rsid w:val="0080074A"/>
    <w:rsid w:val="00800BD3"/>
    <w:rsid w:val="0080189E"/>
    <w:rsid w:val="008103A1"/>
    <w:rsid w:val="00812268"/>
    <w:rsid w:val="0081641B"/>
    <w:rsid w:val="008200BC"/>
    <w:rsid w:val="00821FE6"/>
    <w:rsid w:val="00823DD8"/>
    <w:rsid w:val="00826923"/>
    <w:rsid w:val="00834500"/>
    <w:rsid w:val="00835B13"/>
    <w:rsid w:val="00850020"/>
    <w:rsid w:val="00851A26"/>
    <w:rsid w:val="00852864"/>
    <w:rsid w:val="00854D4D"/>
    <w:rsid w:val="008605F3"/>
    <w:rsid w:val="008608A6"/>
    <w:rsid w:val="0086229D"/>
    <w:rsid w:val="008714AF"/>
    <w:rsid w:val="00881F65"/>
    <w:rsid w:val="00886AEC"/>
    <w:rsid w:val="00886DF0"/>
    <w:rsid w:val="00893F23"/>
    <w:rsid w:val="00897C4A"/>
    <w:rsid w:val="008A1BE1"/>
    <w:rsid w:val="008A29C9"/>
    <w:rsid w:val="008A5136"/>
    <w:rsid w:val="008A5DA6"/>
    <w:rsid w:val="008A7AE2"/>
    <w:rsid w:val="008B0A9C"/>
    <w:rsid w:val="008B2055"/>
    <w:rsid w:val="008B421E"/>
    <w:rsid w:val="008B641F"/>
    <w:rsid w:val="008B6F70"/>
    <w:rsid w:val="008C41F3"/>
    <w:rsid w:val="008D4DE6"/>
    <w:rsid w:val="008D5EE3"/>
    <w:rsid w:val="008D6480"/>
    <w:rsid w:val="008E30C1"/>
    <w:rsid w:val="008E7192"/>
    <w:rsid w:val="008E7854"/>
    <w:rsid w:val="008F453F"/>
    <w:rsid w:val="008F485A"/>
    <w:rsid w:val="008F4C94"/>
    <w:rsid w:val="008F5B38"/>
    <w:rsid w:val="008F77F7"/>
    <w:rsid w:val="0090391F"/>
    <w:rsid w:val="009050BB"/>
    <w:rsid w:val="00910C7C"/>
    <w:rsid w:val="00912FC5"/>
    <w:rsid w:val="00913679"/>
    <w:rsid w:val="00914185"/>
    <w:rsid w:val="00917423"/>
    <w:rsid w:val="0091770D"/>
    <w:rsid w:val="00920A08"/>
    <w:rsid w:val="00922F32"/>
    <w:rsid w:val="0092440C"/>
    <w:rsid w:val="00930055"/>
    <w:rsid w:val="00931962"/>
    <w:rsid w:val="00934880"/>
    <w:rsid w:val="00936BF6"/>
    <w:rsid w:val="0094136B"/>
    <w:rsid w:val="00943F23"/>
    <w:rsid w:val="00945642"/>
    <w:rsid w:val="0095538D"/>
    <w:rsid w:val="009606E5"/>
    <w:rsid w:val="00962FB2"/>
    <w:rsid w:val="00977262"/>
    <w:rsid w:val="009800B0"/>
    <w:rsid w:val="00981C30"/>
    <w:rsid w:val="009926EE"/>
    <w:rsid w:val="00993589"/>
    <w:rsid w:val="00995CC4"/>
    <w:rsid w:val="00997BC0"/>
    <w:rsid w:val="009A4EC8"/>
    <w:rsid w:val="009A68B6"/>
    <w:rsid w:val="009B29F7"/>
    <w:rsid w:val="009C1ED7"/>
    <w:rsid w:val="009D09ED"/>
    <w:rsid w:val="009D0BD7"/>
    <w:rsid w:val="009D14E9"/>
    <w:rsid w:val="009D1710"/>
    <w:rsid w:val="009D2BEE"/>
    <w:rsid w:val="009D3ECB"/>
    <w:rsid w:val="009D4AB9"/>
    <w:rsid w:val="009E1064"/>
    <w:rsid w:val="009E1F9D"/>
    <w:rsid w:val="009E79BA"/>
    <w:rsid w:val="009F35BA"/>
    <w:rsid w:val="009F39EE"/>
    <w:rsid w:val="00A006AF"/>
    <w:rsid w:val="00A01FA5"/>
    <w:rsid w:val="00A04404"/>
    <w:rsid w:val="00A047F2"/>
    <w:rsid w:val="00A06C94"/>
    <w:rsid w:val="00A1411A"/>
    <w:rsid w:val="00A27FD4"/>
    <w:rsid w:val="00A33E08"/>
    <w:rsid w:val="00A47387"/>
    <w:rsid w:val="00A50B7E"/>
    <w:rsid w:val="00A52AEC"/>
    <w:rsid w:val="00A56A4C"/>
    <w:rsid w:val="00A6041A"/>
    <w:rsid w:val="00A63B78"/>
    <w:rsid w:val="00A803E7"/>
    <w:rsid w:val="00A8224F"/>
    <w:rsid w:val="00A822A2"/>
    <w:rsid w:val="00A83DDE"/>
    <w:rsid w:val="00A84E9E"/>
    <w:rsid w:val="00A9044A"/>
    <w:rsid w:val="00A93AD8"/>
    <w:rsid w:val="00AB0A2F"/>
    <w:rsid w:val="00AB62D7"/>
    <w:rsid w:val="00AC591E"/>
    <w:rsid w:val="00AD4FCC"/>
    <w:rsid w:val="00AD62DE"/>
    <w:rsid w:val="00AE3CA7"/>
    <w:rsid w:val="00AE4653"/>
    <w:rsid w:val="00AE67FE"/>
    <w:rsid w:val="00AE7E92"/>
    <w:rsid w:val="00AF51EB"/>
    <w:rsid w:val="00AF66BD"/>
    <w:rsid w:val="00B0102A"/>
    <w:rsid w:val="00B02FC0"/>
    <w:rsid w:val="00B03595"/>
    <w:rsid w:val="00B11A5A"/>
    <w:rsid w:val="00B11DBE"/>
    <w:rsid w:val="00B12E3A"/>
    <w:rsid w:val="00B1313D"/>
    <w:rsid w:val="00B231AA"/>
    <w:rsid w:val="00B2321F"/>
    <w:rsid w:val="00B2443F"/>
    <w:rsid w:val="00B24466"/>
    <w:rsid w:val="00B2577C"/>
    <w:rsid w:val="00B3165F"/>
    <w:rsid w:val="00B3348C"/>
    <w:rsid w:val="00B35295"/>
    <w:rsid w:val="00B35598"/>
    <w:rsid w:val="00B370FB"/>
    <w:rsid w:val="00B432C2"/>
    <w:rsid w:val="00B52776"/>
    <w:rsid w:val="00B60411"/>
    <w:rsid w:val="00B60D9A"/>
    <w:rsid w:val="00B62757"/>
    <w:rsid w:val="00B65250"/>
    <w:rsid w:val="00B727FC"/>
    <w:rsid w:val="00B72CA1"/>
    <w:rsid w:val="00B75AF3"/>
    <w:rsid w:val="00B77B97"/>
    <w:rsid w:val="00B816DA"/>
    <w:rsid w:val="00B840F3"/>
    <w:rsid w:val="00B87D93"/>
    <w:rsid w:val="00B90DB0"/>
    <w:rsid w:val="00B93993"/>
    <w:rsid w:val="00B93E8E"/>
    <w:rsid w:val="00B974BD"/>
    <w:rsid w:val="00BA0C43"/>
    <w:rsid w:val="00BA1325"/>
    <w:rsid w:val="00BB4EEE"/>
    <w:rsid w:val="00BB55BE"/>
    <w:rsid w:val="00BC1BD4"/>
    <w:rsid w:val="00BD7A2B"/>
    <w:rsid w:val="00BD7C9E"/>
    <w:rsid w:val="00BE1E85"/>
    <w:rsid w:val="00BF37BF"/>
    <w:rsid w:val="00BF6001"/>
    <w:rsid w:val="00C225AC"/>
    <w:rsid w:val="00C22C74"/>
    <w:rsid w:val="00C25D05"/>
    <w:rsid w:val="00C307E2"/>
    <w:rsid w:val="00C32C8F"/>
    <w:rsid w:val="00C34A5B"/>
    <w:rsid w:val="00C3562F"/>
    <w:rsid w:val="00C36CBC"/>
    <w:rsid w:val="00C4062C"/>
    <w:rsid w:val="00C41702"/>
    <w:rsid w:val="00C461AE"/>
    <w:rsid w:val="00C46382"/>
    <w:rsid w:val="00C4732F"/>
    <w:rsid w:val="00C5656E"/>
    <w:rsid w:val="00C57ED2"/>
    <w:rsid w:val="00C6087E"/>
    <w:rsid w:val="00C62705"/>
    <w:rsid w:val="00C62A66"/>
    <w:rsid w:val="00C714AD"/>
    <w:rsid w:val="00C73B57"/>
    <w:rsid w:val="00C81970"/>
    <w:rsid w:val="00C8681B"/>
    <w:rsid w:val="00C91950"/>
    <w:rsid w:val="00C94E93"/>
    <w:rsid w:val="00C9512C"/>
    <w:rsid w:val="00C95ED6"/>
    <w:rsid w:val="00C9634E"/>
    <w:rsid w:val="00CA1E63"/>
    <w:rsid w:val="00CA58B2"/>
    <w:rsid w:val="00CA5E9C"/>
    <w:rsid w:val="00CA6BAF"/>
    <w:rsid w:val="00CA7397"/>
    <w:rsid w:val="00CB03F1"/>
    <w:rsid w:val="00CB51DF"/>
    <w:rsid w:val="00CB5A79"/>
    <w:rsid w:val="00CB5DF9"/>
    <w:rsid w:val="00CB6CEB"/>
    <w:rsid w:val="00CC0A61"/>
    <w:rsid w:val="00CC2B6F"/>
    <w:rsid w:val="00CC4514"/>
    <w:rsid w:val="00CC62F5"/>
    <w:rsid w:val="00CC76A1"/>
    <w:rsid w:val="00CD028F"/>
    <w:rsid w:val="00CD160E"/>
    <w:rsid w:val="00CD48AD"/>
    <w:rsid w:val="00CE172D"/>
    <w:rsid w:val="00CE43A4"/>
    <w:rsid w:val="00CE4FCF"/>
    <w:rsid w:val="00CE7135"/>
    <w:rsid w:val="00CF5FDB"/>
    <w:rsid w:val="00D00A21"/>
    <w:rsid w:val="00D04436"/>
    <w:rsid w:val="00D06E18"/>
    <w:rsid w:val="00D1170F"/>
    <w:rsid w:val="00D1469B"/>
    <w:rsid w:val="00D16824"/>
    <w:rsid w:val="00D20296"/>
    <w:rsid w:val="00D21E65"/>
    <w:rsid w:val="00D2344D"/>
    <w:rsid w:val="00D27A72"/>
    <w:rsid w:val="00D3081E"/>
    <w:rsid w:val="00D315CF"/>
    <w:rsid w:val="00D34555"/>
    <w:rsid w:val="00D35E28"/>
    <w:rsid w:val="00D37A57"/>
    <w:rsid w:val="00D37B64"/>
    <w:rsid w:val="00D5078F"/>
    <w:rsid w:val="00D519A3"/>
    <w:rsid w:val="00D52230"/>
    <w:rsid w:val="00D54F9B"/>
    <w:rsid w:val="00D65235"/>
    <w:rsid w:val="00D705FE"/>
    <w:rsid w:val="00D71708"/>
    <w:rsid w:val="00D72807"/>
    <w:rsid w:val="00D7474F"/>
    <w:rsid w:val="00D76AFB"/>
    <w:rsid w:val="00D8349E"/>
    <w:rsid w:val="00D8359E"/>
    <w:rsid w:val="00D91A54"/>
    <w:rsid w:val="00D92D23"/>
    <w:rsid w:val="00D94461"/>
    <w:rsid w:val="00DA11BA"/>
    <w:rsid w:val="00DA38C8"/>
    <w:rsid w:val="00DA52F7"/>
    <w:rsid w:val="00DB32EF"/>
    <w:rsid w:val="00DB37C9"/>
    <w:rsid w:val="00DB6E2F"/>
    <w:rsid w:val="00DC0FD1"/>
    <w:rsid w:val="00DC2516"/>
    <w:rsid w:val="00DC7077"/>
    <w:rsid w:val="00DC7DEB"/>
    <w:rsid w:val="00DD1E80"/>
    <w:rsid w:val="00DD6275"/>
    <w:rsid w:val="00DE14AA"/>
    <w:rsid w:val="00DE6004"/>
    <w:rsid w:val="00DE7B58"/>
    <w:rsid w:val="00DF083E"/>
    <w:rsid w:val="00DF0BE6"/>
    <w:rsid w:val="00DF2664"/>
    <w:rsid w:val="00DF53A2"/>
    <w:rsid w:val="00DF6689"/>
    <w:rsid w:val="00E009FE"/>
    <w:rsid w:val="00E018FE"/>
    <w:rsid w:val="00E02E6E"/>
    <w:rsid w:val="00E04350"/>
    <w:rsid w:val="00E1141E"/>
    <w:rsid w:val="00E15484"/>
    <w:rsid w:val="00E15A18"/>
    <w:rsid w:val="00E2098B"/>
    <w:rsid w:val="00E2366B"/>
    <w:rsid w:val="00E2672E"/>
    <w:rsid w:val="00E33D30"/>
    <w:rsid w:val="00E3412B"/>
    <w:rsid w:val="00E511EA"/>
    <w:rsid w:val="00E545B5"/>
    <w:rsid w:val="00E56F5F"/>
    <w:rsid w:val="00E57B95"/>
    <w:rsid w:val="00E62BB4"/>
    <w:rsid w:val="00E64BBF"/>
    <w:rsid w:val="00E64F99"/>
    <w:rsid w:val="00E70F41"/>
    <w:rsid w:val="00E71F2D"/>
    <w:rsid w:val="00E71F30"/>
    <w:rsid w:val="00E759B6"/>
    <w:rsid w:val="00E8248B"/>
    <w:rsid w:val="00E91455"/>
    <w:rsid w:val="00EA1607"/>
    <w:rsid w:val="00EB0806"/>
    <w:rsid w:val="00EC1E70"/>
    <w:rsid w:val="00EC5625"/>
    <w:rsid w:val="00ED6AC2"/>
    <w:rsid w:val="00EE43B6"/>
    <w:rsid w:val="00F00CD8"/>
    <w:rsid w:val="00F01B2E"/>
    <w:rsid w:val="00F0524E"/>
    <w:rsid w:val="00F05653"/>
    <w:rsid w:val="00F05875"/>
    <w:rsid w:val="00F11C8E"/>
    <w:rsid w:val="00F14833"/>
    <w:rsid w:val="00F15984"/>
    <w:rsid w:val="00F16836"/>
    <w:rsid w:val="00F17408"/>
    <w:rsid w:val="00F17CC3"/>
    <w:rsid w:val="00F22D4A"/>
    <w:rsid w:val="00F2404C"/>
    <w:rsid w:val="00F246D0"/>
    <w:rsid w:val="00F265F5"/>
    <w:rsid w:val="00F27AE0"/>
    <w:rsid w:val="00F310FE"/>
    <w:rsid w:val="00F31158"/>
    <w:rsid w:val="00F4278C"/>
    <w:rsid w:val="00F47D5E"/>
    <w:rsid w:val="00F54E47"/>
    <w:rsid w:val="00F6338F"/>
    <w:rsid w:val="00F640C9"/>
    <w:rsid w:val="00F642EE"/>
    <w:rsid w:val="00F7057D"/>
    <w:rsid w:val="00F70BA0"/>
    <w:rsid w:val="00F84940"/>
    <w:rsid w:val="00F87CEC"/>
    <w:rsid w:val="00F904CE"/>
    <w:rsid w:val="00FA1A9F"/>
    <w:rsid w:val="00FA6A12"/>
    <w:rsid w:val="00FB3D39"/>
    <w:rsid w:val="00FB51D7"/>
    <w:rsid w:val="00FC02F8"/>
    <w:rsid w:val="00FC718C"/>
    <w:rsid w:val="00FC7C1D"/>
    <w:rsid w:val="00FD065B"/>
    <w:rsid w:val="00FD3BF6"/>
    <w:rsid w:val="00FD6810"/>
    <w:rsid w:val="00FD7C1A"/>
    <w:rsid w:val="00FE30A9"/>
    <w:rsid w:val="00FE5CA7"/>
    <w:rsid w:val="00FF00C8"/>
    <w:rsid w:val="00FF296F"/>
    <w:rsid w:val="00FF3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4F"/>
  </w:style>
  <w:style w:type="paragraph" w:styleId="Heading1">
    <w:name w:val="heading 1"/>
    <w:basedOn w:val="Normal"/>
    <w:next w:val="Normal"/>
    <w:link w:val="Heading1Char"/>
    <w:uiPriority w:val="9"/>
    <w:qFormat/>
    <w:rsid w:val="00AB6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E30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0C1"/>
    <w:rPr>
      <w:sz w:val="20"/>
      <w:szCs w:val="20"/>
    </w:rPr>
  </w:style>
  <w:style w:type="character" w:styleId="FootnoteReference">
    <w:name w:val="footnote reference"/>
    <w:basedOn w:val="DefaultParagraphFont"/>
    <w:uiPriority w:val="99"/>
    <w:semiHidden/>
    <w:unhideWhenUsed/>
    <w:rsid w:val="008E30C1"/>
    <w:rPr>
      <w:vertAlign w:val="superscript"/>
    </w:rPr>
  </w:style>
  <w:style w:type="character" w:styleId="Hyperlink">
    <w:name w:val="Hyperlink"/>
    <w:basedOn w:val="DefaultParagraphFont"/>
    <w:uiPriority w:val="99"/>
    <w:unhideWhenUsed/>
    <w:rsid w:val="001642DC"/>
    <w:rPr>
      <w:color w:val="0000FF" w:themeColor="hyperlink"/>
      <w:u w:val="single"/>
    </w:rPr>
  </w:style>
  <w:style w:type="paragraph" w:styleId="Header">
    <w:name w:val="header"/>
    <w:basedOn w:val="Normal"/>
    <w:link w:val="HeaderChar"/>
    <w:uiPriority w:val="99"/>
    <w:semiHidden/>
    <w:unhideWhenUsed/>
    <w:rsid w:val="003D53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534B"/>
  </w:style>
  <w:style w:type="paragraph" w:styleId="Footer">
    <w:name w:val="footer"/>
    <w:basedOn w:val="Normal"/>
    <w:link w:val="FooterChar"/>
    <w:uiPriority w:val="99"/>
    <w:unhideWhenUsed/>
    <w:rsid w:val="003D5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4B"/>
  </w:style>
  <w:style w:type="paragraph" w:styleId="BalloonText">
    <w:name w:val="Balloon Text"/>
    <w:basedOn w:val="Normal"/>
    <w:link w:val="BalloonTextChar"/>
    <w:uiPriority w:val="99"/>
    <w:semiHidden/>
    <w:unhideWhenUsed/>
    <w:rsid w:val="00E91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455"/>
    <w:rPr>
      <w:rFonts w:ascii="Tahoma" w:hAnsi="Tahoma" w:cs="Tahoma"/>
      <w:sz w:val="16"/>
      <w:szCs w:val="16"/>
    </w:rPr>
  </w:style>
  <w:style w:type="character" w:styleId="PlaceholderText">
    <w:name w:val="Placeholder Text"/>
    <w:basedOn w:val="DefaultParagraphFont"/>
    <w:uiPriority w:val="99"/>
    <w:semiHidden/>
    <w:rsid w:val="00524844"/>
    <w:rPr>
      <w:color w:val="808080"/>
    </w:rPr>
  </w:style>
  <w:style w:type="character" w:customStyle="1" w:styleId="s3">
    <w:name w:val="s3"/>
    <w:basedOn w:val="DefaultParagraphFont"/>
    <w:rsid w:val="005C48DA"/>
  </w:style>
  <w:style w:type="character" w:customStyle="1" w:styleId="Heading1Char">
    <w:name w:val="Heading 1 Char"/>
    <w:basedOn w:val="DefaultParagraphFont"/>
    <w:link w:val="Heading1"/>
    <w:uiPriority w:val="9"/>
    <w:rsid w:val="00AB62D7"/>
    <w:rPr>
      <w:rFonts w:asciiTheme="majorHAnsi" w:eastAsiaTheme="majorEastAsia" w:hAnsiTheme="majorHAnsi" w:cstheme="majorBidi"/>
      <w:b/>
      <w:bCs/>
      <w:color w:val="365F91" w:themeColor="accent1" w:themeShade="BF"/>
      <w:sz w:val="28"/>
      <w:szCs w:val="28"/>
    </w:rPr>
  </w:style>
  <w:style w:type="character" w:customStyle="1" w:styleId="referencetext">
    <w:name w:val="referencetext"/>
    <w:basedOn w:val="DefaultParagraphFont"/>
    <w:rsid w:val="00D2344D"/>
  </w:style>
  <w:style w:type="character" w:styleId="Strong">
    <w:name w:val="Strong"/>
    <w:basedOn w:val="DefaultParagraphFont"/>
    <w:uiPriority w:val="22"/>
    <w:qFormat/>
    <w:rsid w:val="00D2344D"/>
    <w:rPr>
      <w:b/>
      <w:bCs/>
    </w:rPr>
  </w:style>
  <w:style w:type="paragraph" w:styleId="ListParagraph">
    <w:name w:val="List Paragraph"/>
    <w:basedOn w:val="Normal"/>
    <w:uiPriority w:val="34"/>
    <w:qFormat/>
    <w:rsid w:val="00486FED"/>
    <w:pPr>
      <w:ind w:left="720"/>
      <w:contextualSpacing/>
    </w:pPr>
  </w:style>
  <w:style w:type="character" w:styleId="Emphasis">
    <w:name w:val="Emphasis"/>
    <w:basedOn w:val="DefaultParagraphFont"/>
    <w:uiPriority w:val="20"/>
    <w:qFormat/>
    <w:rsid w:val="009A4EC8"/>
    <w:rPr>
      <w:i/>
      <w:iCs/>
    </w:rPr>
  </w:style>
  <w:style w:type="paragraph" w:styleId="EndnoteText">
    <w:name w:val="endnote text"/>
    <w:basedOn w:val="Normal"/>
    <w:link w:val="EndnoteTextChar"/>
    <w:uiPriority w:val="99"/>
    <w:semiHidden/>
    <w:unhideWhenUsed/>
    <w:rsid w:val="00F240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404C"/>
    <w:rPr>
      <w:sz w:val="20"/>
      <w:szCs w:val="20"/>
    </w:rPr>
  </w:style>
  <w:style w:type="character" w:styleId="EndnoteReference">
    <w:name w:val="endnote reference"/>
    <w:basedOn w:val="DefaultParagraphFont"/>
    <w:uiPriority w:val="99"/>
    <w:semiHidden/>
    <w:unhideWhenUsed/>
    <w:rsid w:val="00F2404C"/>
    <w:rPr>
      <w:vertAlign w:val="superscript"/>
    </w:rPr>
  </w:style>
  <w:style w:type="paragraph" w:styleId="DocumentMap">
    <w:name w:val="Document Map"/>
    <w:basedOn w:val="Normal"/>
    <w:link w:val="DocumentMapChar"/>
    <w:uiPriority w:val="99"/>
    <w:semiHidden/>
    <w:unhideWhenUsed/>
    <w:rsid w:val="005E6E4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6E47"/>
    <w:rPr>
      <w:rFonts w:ascii="Tahoma" w:hAnsi="Tahoma" w:cs="Tahoma"/>
      <w:sz w:val="16"/>
      <w:szCs w:val="16"/>
    </w:rPr>
  </w:style>
  <w:style w:type="character" w:styleId="CommentReference">
    <w:name w:val="annotation reference"/>
    <w:basedOn w:val="DefaultParagraphFont"/>
    <w:uiPriority w:val="99"/>
    <w:semiHidden/>
    <w:unhideWhenUsed/>
    <w:rsid w:val="00221CDE"/>
    <w:rPr>
      <w:sz w:val="16"/>
      <w:szCs w:val="16"/>
    </w:rPr>
  </w:style>
  <w:style w:type="paragraph" w:styleId="CommentText">
    <w:name w:val="annotation text"/>
    <w:basedOn w:val="Normal"/>
    <w:link w:val="CommentTextChar"/>
    <w:uiPriority w:val="99"/>
    <w:semiHidden/>
    <w:unhideWhenUsed/>
    <w:rsid w:val="00221CDE"/>
    <w:pPr>
      <w:spacing w:line="240" w:lineRule="auto"/>
    </w:pPr>
    <w:rPr>
      <w:sz w:val="20"/>
      <w:szCs w:val="20"/>
    </w:rPr>
  </w:style>
  <w:style w:type="character" w:customStyle="1" w:styleId="CommentTextChar">
    <w:name w:val="Comment Text Char"/>
    <w:basedOn w:val="DefaultParagraphFont"/>
    <w:link w:val="CommentText"/>
    <w:uiPriority w:val="99"/>
    <w:semiHidden/>
    <w:rsid w:val="00221CDE"/>
    <w:rPr>
      <w:sz w:val="20"/>
      <w:szCs w:val="20"/>
    </w:rPr>
  </w:style>
  <w:style w:type="paragraph" w:styleId="CommentSubject">
    <w:name w:val="annotation subject"/>
    <w:basedOn w:val="CommentText"/>
    <w:next w:val="CommentText"/>
    <w:link w:val="CommentSubjectChar"/>
    <w:uiPriority w:val="99"/>
    <w:semiHidden/>
    <w:unhideWhenUsed/>
    <w:rsid w:val="00221CDE"/>
    <w:rPr>
      <w:b/>
      <w:bCs/>
    </w:rPr>
  </w:style>
  <w:style w:type="character" w:customStyle="1" w:styleId="CommentSubjectChar">
    <w:name w:val="Comment Subject Char"/>
    <w:basedOn w:val="CommentTextChar"/>
    <w:link w:val="CommentSubject"/>
    <w:uiPriority w:val="99"/>
    <w:semiHidden/>
    <w:rsid w:val="00221CDE"/>
    <w:rPr>
      <w:b/>
      <w:bCs/>
    </w:rPr>
  </w:style>
</w:styles>
</file>

<file path=word/webSettings.xml><?xml version="1.0" encoding="utf-8"?>
<w:webSettings xmlns:r="http://schemas.openxmlformats.org/officeDocument/2006/relationships" xmlns:w="http://schemas.openxmlformats.org/wordprocessingml/2006/main">
  <w:divs>
    <w:div w:id="69739938">
      <w:bodyDiv w:val="1"/>
      <w:marLeft w:val="0"/>
      <w:marRight w:val="0"/>
      <w:marTop w:val="0"/>
      <w:marBottom w:val="0"/>
      <w:divBdr>
        <w:top w:val="none" w:sz="0" w:space="0" w:color="auto"/>
        <w:left w:val="none" w:sz="0" w:space="0" w:color="auto"/>
        <w:bottom w:val="none" w:sz="0" w:space="0" w:color="auto"/>
        <w:right w:val="none" w:sz="0" w:space="0" w:color="auto"/>
      </w:divBdr>
    </w:div>
    <w:div w:id="309479986">
      <w:bodyDiv w:val="1"/>
      <w:marLeft w:val="0"/>
      <w:marRight w:val="0"/>
      <w:marTop w:val="0"/>
      <w:marBottom w:val="0"/>
      <w:divBdr>
        <w:top w:val="none" w:sz="0" w:space="0" w:color="auto"/>
        <w:left w:val="none" w:sz="0" w:space="0" w:color="auto"/>
        <w:bottom w:val="none" w:sz="0" w:space="0" w:color="auto"/>
        <w:right w:val="none" w:sz="0" w:space="0" w:color="auto"/>
      </w:divBdr>
    </w:div>
    <w:div w:id="324019410">
      <w:bodyDiv w:val="1"/>
      <w:marLeft w:val="0"/>
      <w:marRight w:val="0"/>
      <w:marTop w:val="0"/>
      <w:marBottom w:val="0"/>
      <w:divBdr>
        <w:top w:val="none" w:sz="0" w:space="0" w:color="auto"/>
        <w:left w:val="none" w:sz="0" w:space="0" w:color="auto"/>
        <w:bottom w:val="none" w:sz="0" w:space="0" w:color="auto"/>
        <w:right w:val="none" w:sz="0" w:space="0" w:color="auto"/>
      </w:divBdr>
      <w:divsChild>
        <w:div w:id="1540900334">
          <w:marLeft w:val="0"/>
          <w:marRight w:val="0"/>
          <w:marTop w:val="0"/>
          <w:marBottom w:val="0"/>
          <w:divBdr>
            <w:top w:val="none" w:sz="0" w:space="0" w:color="auto"/>
            <w:left w:val="none" w:sz="0" w:space="0" w:color="auto"/>
            <w:bottom w:val="none" w:sz="0" w:space="0" w:color="auto"/>
            <w:right w:val="none" w:sz="0" w:space="0" w:color="auto"/>
          </w:divBdr>
        </w:div>
        <w:div w:id="1081828506">
          <w:marLeft w:val="0"/>
          <w:marRight w:val="0"/>
          <w:marTop w:val="0"/>
          <w:marBottom w:val="0"/>
          <w:divBdr>
            <w:top w:val="none" w:sz="0" w:space="0" w:color="auto"/>
            <w:left w:val="none" w:sz="0" w:space="0" w:color="auto"/>
            <w:bottom w:val="none" w:sz="0" w:space="0" w:color="auto"/>
            <w:right w:val="none" w:sz="0" w:space="0" w:color="auto"/>
          </w:divBdr>
        </w:div>
      </w:divsChild>
    </w:div>
    <w:div w:id="348217482">
      <w:bodyDiv w:val="1"/>
      <w:marLeft w:val="0"/>
      <w:marRight w:val="0"/>
      <w:marTop w:val="0"/>
      <w:marBottom w:val="0"/>
      <w:divBdr>
        <w:top w:val="none" w:sz="0" w:space="0" w:color="auto"/>
        <w:left w:val="none" w:sz="0" w:space="0" w:color="auto"/>
        <w:bottom w:val="none" w:sz="0" w:space="0" w:color="auto"/>
        <w:right w:val="none" w:sz="0" w:space="0" w:color="auto"/>
      </w:divBdr>
    </w:div>
    <w:div w:id="778526342">
      <w:bodyDiv w:val="1"/>
      <w:marLeft w:val="0"/>
      <w:marRight w:val="0"/>
      <w:marTop w:val="0"/>
      <w:marBottom w:val="0"/>
      <w:divBdr>
        <w:top w:val="none" w:sz="0" w:space="0" w:color="auto"/>
        <w:left w:val="none" w:sz="0" w:space="0" w:color="auto"/>
        <w:bottom w:val="none" w:sz="0" w:space="0" w:color="auto"/>
        <w:right w:val="none" w:sz="0" w:space="0" w:color="auto"/>
      </w:divBdr>
      <w:divsChild>
        <w:div w:id="704596118">
          <w:marLeft w:val="0"/>
          <w:marRight w:val="0"/>
          <w:marTop w:val="0"/>
          <w:marBottom w:val="0"/>
          <w:divBdr>
            <w:top w:val="none" w:sz="0" w:space="0" w:color="auto"/>
            <w:left w:val="none" w:sz="0" w:space="0" w:color="auto"/>
            <w:bottom w:val="none" w:sz="0" w:space="0" w:color="auto"/>
            <w:right w:val="none" w:sz="0" w:space="0" w:color="auto"/>
          </w:divBdr>
        </w:div>
      </w:divsChild>
    </w:div>
    <w:div w:id="790632254">
      <w:bodyDiv w:val="1"/>
      <w:marLeft w:val="0"/>
      <w:marRight w:val="0"/>
      <w:marTop w:val="0"/>
      <w:marBottom w:val="0"/>
      <w:divBdr>
        <w:top w:val="none" w:sz="0" w:space="0" w:color="auto"/>
        <w:left w:val="none" w:sz="0" w:space="0" w:color="auto"/>
        <w:bottom w:val="none" w:sz="0" w:space="0" w:color="auto"/>
        <w:right w:val="none" w:sz="0" w:space="0" w:color="auto"/>
      </w:divBdr>
    </w:div>
    <w:div w:id="869221004">
      <w:bodyDiv w:val="1"/>
      <w:marLeft w:val="0"/>
      <w:marRight w:val="0"/>
      <w:marTop w:val="0"/>
      <w:marBottom w:val="0"/>
      <w:divBdr>
        <w:top w:val="none" w:sz="0" w:space="0" w:color="auto"/>
        <w:left w:val="none" w:sz="0" w:space="0" w:color="auto"/>
        <w:bottom w:val="none" w:sz="0" w:space="0" w:color="auto"/>
        <w:right w:val="none" w:sz="0" w:space="0" w:color="auto"/>
      </w:divBdr>
    </w:div>
    <w:div w:id="1106729681">
      <w:bodyDiv w:val="1"/>
      <w:marLeft w:val="0"/>
      <w:marRight w:val="0"/>
      <w:marTop w:val="0"/>
      <w:marBottom w:val="0"/>
      <w:divBdr>
        <w:top w:val="none" w:sz="0" w:space="0" w:color="auto"/>
        <w:left w:val="none" w:sz="0" w:space="0" w:color="auto"/>
        <w:bottom w:val="none" w:sz="0" w:space="0" w:color="auto"/>
        <w:right w:val="none" w:sz="0" w:space="0" w:color="auto"/>
      </w:divBdr>
    </w:div>
    <w:div w:id="1295915584">
      <w:bodyDiv w:val="1"/>
      <w:marLeft w:val="0"/>
      <w:marRight w:val="0"/>
      <w:marTop w:val="0"/>
      <w:marBottom w:val="0"/>
      <w:divBdr>
        <w:top w:val="none" w:sz="0" w:space="0" w:color="auto"/>
        <w:left w:val="none" w:sz="0" w:space="0" w:color="auto"/>
        <w:bottom w:val="none" w:sz="0" w:space="0" w:color="auto"/>
        <w:right w:val="none" w:sz="0" w:space="0" w:color="auto"/>
      </w:divBdr>
      <w:divsChild>
        <w:div w:id="1519074550">
          <w:marLeft w:val="0"/>
          <w:marRight w:val="0"/>
          <w:marTop w:val="0"/>
          <w:marBottom w:val="0"/>
          <w:divBdr>
            <w:top w:val="none" w:sz="0" w:space="0" w:color="auto"/>
            <w:left w:val="none" w:sz="0" w:space="0" w:color="auto"/>
            <w:bottom w:val="none" w:sz="0" w:space="0" w:color="auto"/>
            <w:right w:val="none" w:sz="0" w:space="0" w:color="auto"/>
          </w:divBdr>
          <w:divsChild>
            <w:div w:id="1845777683">
              <w:marLeft w:val="0"/>
              <w:marRight w:val="0"/>
              <w:marTop w:val="0"/>
              <w:marBottom w:val="0"/>
              <w:divBdr>
                <w:top w:val="none" w:sz="0" w:space="0" w:color="auto"/>
                <w:left w:val="none" w:sz="0" w:space="0" w:color="auto"/>
                <w:bottom w:val="none" w:sz="0" w:space="0" w:color="auto"/>
                <w:right w:val="none" w:sz="0" w:space="0" w:color="auto"/>
              </w:divBdr>
              <w:divsChild>
                <w:div w:id="1706901681">
                  <w:marLeft w:val="0"/>
                  <w:marRight w:val="0"/>
                  <w:marTop w:val="0"/>
                  <w:marBottom w:val="0"/>
                  <w:divBdr>
                    <w:top w:val="none" w:sz="0" w:space="0" w:color="auto"/>
                    <w:left w:val="none" w:sz="0" w:space="0" w:color="auto"/>
                    <w:bottom w:val="none" w:sz="0" w:space="0" w:color="auto"/>
                    <w:right w:val="none" w:sz="0" w:space="0" w:color="auto"/>
                  </w:divBdr>
                  <w:divsChild>
                    <w:div w:id="1101805458">
                      <w:marLeft w:val="0"/>
                      <w:marRight w:val="0"/>
                      <w:marTop w:val="0"/>
                      <w:marBottom w:val="0"/>
                      <w:divBdr>
                        <w:top w:val="single" w:sz="18" w:space="0" w:color="E8E8E8"/>
                        <w:left w:val="none" w:sz="0" w:space="0" w:color="auto"/>
                        <w:bottom w:val="none" w:sz="0" w:space="0" w:color="auto"/>
                        <w:right w:val="none" w:sz="0" w:space="0" w:color="auto"/>
                      </w:divBdr>
                      <w:divsChild>
                        <w:div w:id="1630015991">
                          <w:marLeft w:val="0"/>
                          <w:marRight w:val="4520"/>
                          <w:marTop w:val="0"/>
                          <w:marBottom w:val="0"/>
                          <w:divBdr>
                            <w:top w:val="none" w:sz="0" w:space="0" w:color="auto"/>
                            <w:left w:val="none" w:sz="0" w:space="0" w:color="auto"/>
                            <w:bottom w:val="none" w:sz="0" w:space="0" w:color="auto"/>
                            <w:right w:val="none" w:sz="0" w:space="0" w:color="auto"/>
                          </w:divBdr>
                          <w:divsChild>
                            <w:div w:id="1296373097">
                              <w:marLeft w:val="0"/>
                              <w:marRight w:val="0"/>
                              <w:marTop w:val="0"/>
                              <w:marBottom w:val="0"/>
                              <w:divBdr>
                                <w:top w:val="none" w:sz="0" w:space="0" w:color="auto"/>
                                <w:left w:val="none" w:sz="0" w:space="0" w:color="auto"/>
                                <w:bottom w:val="none" w:sz="0" w:space="0" w:color="auto"/>
                                <w:right w:val="none" w:sz="0" w:space="0" w:color="auto"/>
                              </w:divBdr>
                              <w:divsChild>
                                <w:div w:id="985665265">
                                  <w:marLeft w:val="0"/>
                                  <w:marRight w:val="0"/>
                                  <w:marTop w:val="0"/>
                                  <w:marBottom w:val="0"/>
                                  <w:divBdr>
                                    <w:top w:val="single" w:sz="4" w:space="0" w:color="FFFFFF"/>
                                    <w:left w:val="none" w:sz="0" w:space="0" w:color="auto"/>
                                    <w:bottom w:val="none" w:sz="0" w:space="0" w:color="auto"/>
                                    <w:right w:val="none" w:sz="0" w:space="0" w:color="auto"/>
                                  </w:divBdr>
                                  <w:divsChild>
                                    <w:div w:id="86387503">
                                      <w:marLeft w:val="0"/>
                                      <w:marRight w:val="0"/>
                                      <w:marTop w:val="0"/>
                                      <w:marBottom w:val="0"/>
                                      <w:divBdr>
                                        <w:top w:val="none" w:sz="0" w:space="0" w:color="auto"/>
                                        <w:left w:val="none" w:sz="0" w:space="0" w:color="auto"/>
                                        <w:bottom w:val="none" w:sz="0" w:space="0" w:color="auto"/>
                                        <w:right w:val="none" w:sz="0" w:space="0" w:color="auto"/>
                                      </w:divBdr>
                                      <w:divsChild>
                                        <w:div w:id="432749779">
                                          <w:marLeft w:val="0"/>
                                          <w:marRight w:val="0"/>
                                          <w:marTop w:val="0"/>
                                          <w:marBottom w:val="0"/>
                                          <w:divBdr>
                                            <w:top w:val="none" w:sz="0" w:space="0" w:color="auto"/>
                                            <w:left w:val="none" w:sz="0" w:space="0" w:color="auto"/>
                                            <w:bottom w:val="none" w:sz="0" w:space="0" w:color="auto"/>
                                            <w:right w:val="none" w:sz="0" w:space="0" w:color="auto"/>
                                          </w:divBdr>
                                          <w:divsChild>
                                            <w:div w:id="1306423448">
                                              <w:marLeft w:val="0"/>
                                              <w:marRight w:val="0"/>
                                              <w:marTop w:val="0"/>
                                              <w:marBottom w:val="0"/>
                                              <w:divBdr>
                                                <w:top w:val="none" w:sz="0" w:space="0" w:color="auto"/>
                                                <w:left w:val="none" w:sz="0" w:space="0" w:color="auto"/>
                                                <w:bottom w:val="none" w:sz="0" w:space="0" w:color="auto"/>
                                                <w:right w:val="none" w:sz="0" w:space="0" w:color="auto"/>
                                              </w:divBdr>
                                              <w:divsChild>
                                                <w:div w:id="845706991">
                                                  <w:marLeft w:val="38"/>
                                                  <w:marRight w:val="63"/>
                                                  <w:marTop w:val="0"/>
                                                  <w:marBottom w:val="0"/>
                                                  <w:divBdr>
                                                    <w:top w:val="none" w:sz="0" w:space="0" w:color="auto"/>
                                                    <w:left w:val="none" w:sz="0" w:space="0" w:color="auto"/>
                                                    <w:bottom w:val="none" w:sz="0" w:space="0" w:color="auto"/>
                                                    <w:right w:val="none" w:sz="0" w:space="0" w:color="auto"/>
                                                  </w:divBdr>
                                                  <w:divsChild>
                                                    <w:div w:id="629166877">
                                                      <w:marLeft w:val="0"/>
                                                      <w:marRight w:val="0"/>
                                                      <w:marTop w:val="0"/>
                                                      <w:marBottom w:val="0"/>
                                                      <w:divBdr>
                                                        <w:top w:val="none" w:sz="0" w:space="0" w:color="auto"/>
                                                        <w:left w:val="none" w:sz="0" w:space="0" w:color="auto"/>
                                                        <w:bottom w:val="none" w:sz="0" w:space="0" w:color="auto"/>
                                                        <w:right w:val="none" w:sz="0" w:space="0" w:color="auto"/>
                                                      </w:divBdr>
                                                      <w:divsChild>
                                                        <w:div w:id="803697473">
                                                          <w:marLeft w:val="0"/>
                                                          <w:marRight w:val="0"/>
                                                          <w:marTop w:val="0"/>
                                                          <w:marBottom w:val="0"/>
                                                          <w:divBdr>
                                                            <w:top w:val="none" w:sz="0" w:space="0" w:color="auto"/>
                                                            <w:left w:val="none" w:sz="0" w:space="0" w:color="auto"/>
                                                            <w:bottom w:val="none" w:sz="0" w:space="0" w:color="auto"/>
                                                            <w:right w:val="none" w:sz="0" w:space="0" w:color="auto"/>
                                                          </w:divBdr>
                                                          <w:divsChild>
                                                            <w:div w:id="96606805">
                                                              <w:marLeft w:val="0"/>
                                                              <w:marRight w:val="0"/>
                                                              <w:marTop w:val="0"/>
                                                              <w:marBottom w:val="0"/>
                                                              <w:divBdr>
                                                                <w:top w:val="none" w:sz="0" w:space="0" w:color="auto"/>
                                                                <w:left w:val="none" w:sz="0" w:space="0" w:color="auto"/>
                                                                <w:bottom w:val="none" w:sz="0" w:space="0" w:color="auto"/>
                                                                <w:right w:val="none" w:sz="0" w:space="0" w:color="auto"/>
                                                              </w:divBdr>
                                                              <w:divsChild>
                                                                <w:div w:id="20090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777267">
      <w:bodyDiv w:val="1"/>
      <w:marLeft w:val="0"/>
      <w:marRight w:val="0"/>
      <w:marTop w:val="0"/>
      <w:marBottom w:val="0"/>
      <w:divBdr>
        <w:top w:val="none" w:sz="0" w:space="0" w:color="auto"/>
        <w:left w:val="none" w:sz="0" w:space="0" w:color="auto"/>
        <w:bottom w:val="none" w:sz="0" w:space="0" w:color="auto"/>
        <w:right w:val="none" w:sz="0" w:space="0" w:color="auto"/>
      </w:divBdr>
      <w:divsChild>
        <w:div w:id="32659117">
          <w:marLeft w:val="0"/>
          <w:marRight w:val="0"/>
          <w:marTop w:val="0"/>
          <w:marBottom w:val="0"/>
          <w:divBdr>
            <w:top w:val="none" w:sz="0" w:space="0" w:color="auto"/>
            <w:left w:val="none" w:sz="0" w:space="0" w:color="auto"/>
            <w:bottom w:val="none" w:sz="0" w:space="0" w:color="auto"/>
            <w:right w:val="none" w:sz="0" w:space="0" w:color="auto"/>
          </w:divBdr>
        </w:div>
      </w:divsChild>
    </w:div>
    <w:div w:id="1469660667">
      <w:bodyDiv w:val="1"/>
      <w:marLeft w:val="0"/>
      <w:marRight w:val="0"/>
      <w:marTop w:val="0"/>
      <w:marBottom w:val="0"/>
      <w:divBdr>
        <w:top w:val="none" w:sz="0" w:space="0" w:color="auto"/>
        <w:left w:val="none" w:sz="0" w:space="0" w:color="auto"/>
        <w:bottom w:val="none" w:sz="0" w:space="0" w:color="auto"/>
        <w:right w:val="none" w:sz="0" w:space="0" w:color="auto"/>
      </w:divBdr>
      <w:divsChild>
        <w:div w:id="723680490">
          <w:marLeft w:val="0"/>
          <w:marRight w:val="0"/>
          <w:marTop w:val="1252"/>
          <w:marBottom w:val="1252"/>
          <w:divBdr>
            <w:top w:val="none" w:sz="0" w:space="0" w:color="auto"/>
            <w:left w:val="none" w:sz="0" w:space="0" w:color="auto"/>
            <w:bottom w:val="none" w:sz="0" w:space="0" w:color="auto"/>
            <w:right w:val="none" w:sz="0" w:space="0" w:color="auto"/>
          </w:divBdr>
          <w:divsChild>
            <w:div w:id="1853714841">
              <w:marLeft w:val="2755"/>
              <w:marRight w:val="0"/>
              <w:marTop w:val="0"/>
              <w:marBottom w:val="0"/>
              <w:divBdr>
                <w:top w:val="none" w:sz="0" w:space="0" w:color="auto"/>
                <w:left w:val="none" w:sz="0" w:space="0" w:color="auto"/>
                <w:bottom w:val="none" w:sz="0" w:space="0" w:color="auto"/>
                <w:right w:val="none" w:sz="0" w:space="0" w:color="auto"/>
              </w:divBdr>
            </w:div>
          </w:divsChild>
        </w:div>
      </w:divsChild>
    </w:div>
    <w:div w:id="1668245900">
      <w:bodyDiv w:val="1"/>
      <w:marLeft w:val="0"/>
      <w:marRight w:val="0"/>
      <w:marTop w:val="0"/>
      <w:marBottom w:val="0"/>
      <w:divBdr>
        <w:top w:val="none" w:sz="0" w:space="0" w:color="auto"/>
        <w:left w:val="none" w:sz="0" w:space="0" w:color="auto"/>
        <w:bottom w:val="none" w:sz="0" w:space="0" w:color="auto"/>
        <w:right w:val="none" w:sz="0" w:space="0" w:color="auto"/>
      </w:divBdr>
    </w:div>
    <w:div w:id="1708946873">
      <w:bodyDiv w:val="1"/>
      <w:marLeft w:val="0"/>
      <w:marRight w:val="0"/>
      <w:marTop w:val="0"/>
      <w:marBottom w:val="0"/>
      <w:divBdr>
        <w:top w:val="none" w:sz="0" w:space="0" w:color="auto"/>
        <w:left w:val="none" w:sz="0" w:space="0" w:color="auto"/>
        <w:bottom w:val="none" w:sz="0" w:space="0" w:color="auto"/>
        <w:right w:val="none" w:sz="0" w:space="0" w:color="auto"/>
      </w:divBdr>
      <w:divsChild>
        <w:div w:id="84420707">
          <w:marLeft w:val="0"/>
          <w:marRight w:val="0"/>
          <w:marTop w:val="0"/>
          <w:marBottom w:val="0"/>
          <w:divBdr>
            <w:top w:val="none" w:sz="0" w:space="0" w:color="auto"/>
            <w:left w:val="none" w:sz="0" w:space="0" w:color="auto"/>
            <w:bottom w:val="none" w:sz="0" w:space="0" w:color="auto"/>
            <w:right w:val="none" w:sz="0" w:space="0" w:color="auto"/>
          </w:divBdr>
          <w:divsChild>
            <w:div w:id="512955390">
              <w:marLeft w:val="0"/>
              <w:marRight w:val="0"/>
              <w:marTop w:val="0"/>
              <w:marBottom w:val="0"/>
              <w:divBdr>
                <w:top w:val="none" w:sz="0" w:space="0" w:color="auto"/>
                <w:left w:val="none" w:sz="0" w:space="0" w:color="auto"/>
                <w:bottom w:val="none" w:sz="0" w:space="0" w:color="auto"/>
                <w:right w:val="none" w:sz="0" w:space="0" w:color="auto"/>
              </w:divBdr>
              <w:divsChild>
                <w:div w:id="148643276">
                  <w:marLeft w:val="0"/>
                  <w:marRight w:val="0"/>
                  <w:marTop w:val="0"/>
                  <w:marBottom w:val="0"/>
                  <w:divBdr>
                    <w:top w:val="none" w:sz="0" w:space="0" w:color="auto"/>
                    <w:left w:val="none" w:sz="0" w:space="0" w:color="auto"/>
                    <w:bottom w:val="none" w:sz="0" w:space="0" w:color="auto"/>
                    <w:right w:val="none" w:sz="0" w:space="0" w:color="auto"/>
                  </w:divBdr>
                  <w:divsChild>
                    <w:div w:id="161701731">
                      <w:marLeft w:val="0"/>
                      <w:marRight w:val="0"/>
                      <w:marTop w:val="0"/>
                      <w:marBottom w:val="0"/>
                      <w:divBdr>
                        <w:top w:val="single" w:sz="18" w:space="0" w:color="E8E8E8"/>
                        <w:left w:val="none" w:sz="0" w:space="0" w:color="auto"/>
                        <w:bottom w:val="none" w:sz="0" w:space="0" w:color="auto"/>
                        <w:right w:val="none" w:sz="0" w:space="0" w:color="auto"/>
                      </w:divBdr>
                      <w:divsChild>
                        <w:div w:id="1161971167">
                          <w:marLeft w:val="0"/>
                          <w:marRight w:val="4520"/>
                          <w:marTop w:val="0"/>
                          <w:marBottom w:val="0"/>
                          <w:divBdr>
                            <w:top w:val="none" w:sz="0" w:space="0" w:color="auto"/>
                            <w:left w:val="none" w:sz="0" w:space="0" w:color="auto"/>
                            <w:bottom w:val="none" w:sz="0" w:space="0" w:color="auto"/>
                            <w:right w:val="none" w:sz="0" w:space="0" w:color="auto"/>
                          </w:divBdr>
                          <w:divsChild>
                            <w:div w:id="830407832">
                              <w:marLeft w:val="0"/>
                              <w:marRight w:val="0"/>
                              <w:marTop w:val="0"/>
                              <w:marBottom w:val="0"/>
                              <w:divBdr>
                                <w:top w:val="none" w:sz="0" w:space="0" w:color="auto"/>
                                <w:left w:val="none" w:sz="0" w:space="0" w:color="auto"/>
                                <w:bottom w:val="none" w:sz="0" w:space="0" w:color="auto"/>
                                <w:right w:val="none" w:sz="0" w:space="0" w:color="auto"/>
                              </w:divBdr>
                              <w:divsChild>
                                <w:div w:id="312881450">
                                  <w:marLeft w:val="0"/>
                                  <w:marRight w:val="0"/>
                                  <w:marTop w:val="0"/>
                                  <w:marBottom w:val="0"/>
                                  <w:divBdr>
                                    <w:top w:val="single" w:sz="4" w:space="0" w:color="FFFFFF"/>
                                    <w:left w:val="none" w:sz="0" w:space="0" w:color="auto"/>
                                    <w:bottom w:val="none" w:sz="0" w:space="0" w:color="auto"/>
                                    <w:right w:val="none" w:sz="0" w:space="0" w:color="auto"/>
                                  </w:divBdr>
                                  <w:divsChild>
                                    <w:div w:id="272639906">
                                      <w:marLeft w:val="0"/>
                                      <w:marRight w:val="0"/>
                                      <w:marTop w:val="0"/>
                                      <w:marBottom w:val="0"/>
                                      <w:divBdr>
                                        <w:top w:val="none" w:sz="0" w:space="0" w:color="auto"/>
                                        <w:left w:val="none" w:sz="0" w:space="0" w:color="auto"/>
                                        <w:bottom w:val="none" w:sz="0" w:space="0" w:color="auto"/>
                                        <w:right w:val="none" w:sz="0" w:space="0" w:color="auto"/>
                                      </w:divBdr>
                                      <w:divsChild>
                                        <w:div w:id="1934631925">
                                          <w:marLeft w:val="0"/>
                                          <w:marRight w:val="0"/>
                                          <w:marTop w:val="0"/>
                                          <w:marBottom w:val="0"/>
                                          <w:divBdr>
                                            <w:top w:val="none" w:sz="0" w:space="0" w:color="auto"/>
                                            <w:left w:val="none" w:sz="0" w:space="0" w:color="auto"/>
                                            <w:bottom w:val="none" w:sz="0" w:space="0" w:color="auto"/>
                                            <w:right w:val="none" w:sz="0" w:space="0" w:color="auto"/>
                                          </w:divBdr>
                                          <w:divsChild>
                                            <w:div w:id="189884143">
                                              <w:marLeft w:val="0"/>
                                              <w:marRight w:val="0"/>
                                              <w:marTop w:val="0"/>
                                              <w:marBottom w:val="0"/>
                                              <w:divBdr>
                                                <w:top w:val="none" w:sz="0" w:space="0" w:color="auto"/>
                                                <w:left w:val="none" w:sz="0" w:space="0" w:color="auto"/>
                                                <w:bottom w:val="none" w:sz="0" w:space="0" w:color="auto"/>
                                                <w:right w:val="none" w:sz="0" w:space="0" w:color="auto"/>
                                              </w:divBdr>
                                              <w:divsChild>
                                                <w:div w:id="947925820">
                                                  <w:marLeft w:val="38"/>
                                                  <w:marRight w:val="63"/>
                                                  <w:marTop w:val="0"/>
                                                  <w:marBottom w:val="0"/>
                                                  <w:divBdr>
                                                    <w:top w:val="none" w:sz="0" w:space="0" w:color="auto"/>
                                                    <w:left w:val="none" w:sz="0" w:space="0" w:color="auto"/>
                                                    <w:bottom w:val="none" w:sz="0" w:space="0" w:color="auto"/>
                                                    <w:right w:val="none" w:sz="0" w:space="0" w:color="auto"/>
                                                  </w:divBdr>
                                                  <w:divsChild>
                                                    <w:div w:id="122695841">
                                                      <w:marLeft w:val="0"/>
                                                      <w:marRight w:val="0"/>
                                                      <w:marTop w:val="0"/>
                                                      <w:marBottom w:val="0"/>
                                                      <w:divBdr>
                                                        <w:top w:val="none" w:sz="0" w:space="0" w:color="auto"/>
                                                        <w:left w:val="none" w:sz="0" w:space="0" w:color="auto"/>
                                                        <w:bottom w:val="none" w:sz="0" w:space="0" w:color="auto"/>
                                                        <w:right w:val="none" w:sz="0" w:space="0" w:color="auto"/>
                                                      </w:divBdr>
                                                      <w:divsChild>
                                                        <w:div w:id="644967045">
                                                          <w:marLeft w:val="0"/>
                                                          <w:marRight w:val="0"/>
                                                          <w:marTop w:val="0"/>
                                                          <w:marBottom w:val="0"/>
                                                          <w:divBdr>
                                                            <w:top w:val="none" w:sz="0" w:space="0" w:color="auto"/>
                                                            <w:left w:val="none" w:sz="0" w:space="0" w:color="auto"/>
                                                            <w:bottom w:val="none" w:sz="0" w:space="0" w:color="auto"/>
                                                            <w:right w:val="none" w:sz="0" w:space="0" w:color="auto"/>
                                                          </w:divBdr>
                                                          <w:divsChild>
                                                            <w:div w:id="1986812605">
                                                              <w:marLeft w:val="0"/>
                                                              <w:marRight w:val="0"/>
                                                              <w:marTop w:val="0"/>
                                                              <w:marBottom w:val="0"/>
                                                              <w:divBdr>
                                                                <w:top w:val="none" w:sz="0" w:space="0" w:color="auto"/>
                                                                <w:left w:val="none" w:sz="0" w:space="0" w:color="auto"/>
                                                                <w:bottom w:val="none" w:sz="0" w:space="0" w:color="auto"/>
                                                                <w:right w:val="none" w:sz="0" w:space="0" w:color="auto"/>
                                                              </w:divBdr>
                                                              <w:divsChild>
                                                                <w:div w:id="17179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3325805">
      <w:bodyDiv w:val="1"/>
      <w:marLeft w:val="0"/>
      <w:marRight w:val="0"/>
      <w:marTop w:val="0"/>
      <w:marBottom w:val="0"/>
      <w:divBdr>
        <w:top w:val="none" w:sz="0" w:space="0" w:color="auto"/>
        <w:left w:val="none" w:sz="0" w:space="0" w:color="auto"/>
        <w:bottom w:val="none" w:sz="0" w:space="0" w:color="auto"/>
        <w:right w:val="none" w:sz="0" w:space="0" w:color="auto"/>
      </w:divBdr>
      <w:divsChild>
        <w:div w:id="297296359">
          <w:marLeft w:val="0"/>
          <w:marRight w:val="0"/>
          <w:marTop w:val="0"/>
          <w:marBottom w:val="0"/>
          <w:divBdr>
            <w:top w:val="none" w:sz="0" w:space="0" w:color="auto"/>
            <w:left w:val="none" w:sz="0" w:space="0" w:color="auto"/>
            <w:bottom w:val="none" w:sz="0" w:space="0" w:color="auto"/>
            <w:right w:val="none" w:sz="0" w:space="0" w:color="auto"/>
          </w:divBdr>
        </w:div>
      </w:divsChild>
    </w:div>
    <w:div w:id="2008367058">
      <w:bodyDiv w:val="1"/>
      <w:marLeft w:val="0"/>
      <w:marRight w:val="0"/>
      <w:marTop w:val="0"/>
      <w:marBottom w:val="0"/>
      <w:divBdr>
        <w:top w:val="none" w:sz="0" w:space="0" w:color="auto"/>
        <w:left w:val="none" w:sz="0" w:space="0" w:color="auto"/>
        <w:bottom w:val="none" w:sz="0" w:space="0" w:color="auto"/>
        <w:right w:val="none" w:sz="0" w:space="0" w:color="auto"/>
      </w:divBdr>
      <w:divsChild>
        <w:div w:id="1203513510">
          <w:marLeft w:val="0"/>
          <w:marRight w:val="0"/>
          <w:marTop w:val="0"/>
          <w:marBottom w:val="0"/>
          <w:divBdr>
            <w:top w:val="none" w:sz="0" w:space="0" w:color="auto"/>
            <w:left w:val="none" w:sz="0" w:space="0" w:color="auto"/>
            <w:bottom w:val="none" w:sz="0" w:space="0" w:color="auto"/>
            <w:right w:val="none" w:sz="0" w:space="0" w:color="auto"/>
          </w:divBdr>
        </w:div>
      </w:divsChild>
    </w:div>
    <w:div w:id="2022048893">
      <w:bodyDiv w:val="1"/>
      <w:marLeft w:val="0"/>
      <w:marRight w:val="0"/>
      <w:marTop w:val="0"/>
      <w:marBottom w:val="0"/>
      <w:divBdr>
        <w:top w:val="none" w:sz="0" w:space="0" w:color="auto"/>
        <w:left w:val="none" w:sz="0" w:space="0" w:color="auto"/>
        <w:bottom w:val="none" w:sz="0" w:space="0" w:color="auto"/>
        <w:right w:val="none" w:sz="0" w:space="0" w:color="auto"/>
      </w:divBdr>
      <w:divsChild>
        <w:div w:id="636184753">
          <w:marLeft w:val="0"/>
          <w:marRight w:val="0"/>
          <w:marTop w:val="0"/>
          <w:marBottom w:val="0"/>
          <w:divBdr>
            <w:top w:val="none" w:sz="0" w:space="0" w:color="auto"/>
            <w:left w:val="none" w:sz="0" w:space="0" w:color="auto"/>
            <w:bottom w:val="none" w:sz="0" w:space="0" w:color="auto"/>
            <w:right w:val="none" w:sz="0" w:space="0" w:color="auto"/>
          </w:divBdr>
          <w:divsChild>
            <w:div w:id="6670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4108">
      <w:bodyDiv w:val="1"/>
      <w:marLeft w:val="0"/>
      <w:marRight w:val="0"/>
      <w:marTop w:val="0"/>
      <w:marBottom w:val="0"/>
      <w:divBdr>
        <w:top w:val="none" w:sz="0" w:space="0" w:color="auto"/>
        <w:left w:val="none" w:sz="0" w:space="0" w:color="auto"/>
        <w:bottom w:val="none" w:sz="0" w:space="0" w:color="auto"/>
        <w:right w:val="none" w:sz="0" w:space="0" w:color="auto"/>
      </w:divBdr>
      <w:divsChild>
        <w:div w:id="463235850">
          <w:marLeft w:val="0"/>
          <w:marRight w:val="0"/>
          <w:marTop w:val="1252"/>
          <w:marBottom w:val="1252"/>
          <w:divBdr>
            <w:top w:val="none" w:sz="0" w:space="0" w:color="auto"/>
            <w:left w:val="none" w:sz="0" w:space="0" w:color="auto"/>
            <w:bottom w:val="none" w:sz="0" w:space="0" w:color="auto"/>
            <w:right w:val="none" w:sz="0" w:space="0" w:color="auto"/>
          </w:divBdr>
          <w:divsChild>
            <w:div w:id="375274287">
              <w:marLeft w:val="27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onomics.ox.ac.uk/research/kr" TargetMode="External"/><Relationship Id="rId4" Type="http://schemas.openxmlformats.org/officeDocument/2006/relationships/settings" Target="settings.xml"/><Relationship Id="rId9" Type="http://schemas.openxmlformats.org/officeDocument/2006/relationships/hyperlink" Target="http://www.syedbasher.org/wp/decoupl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95741-4101-4AAE-AD5F-2C6C1E9C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10066</Words>
  <Characters>57377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Malaspina University-College</Company>
  <LinksUpToDate>false</LinksUpToDate>
  <CharactersWithSpaces>67309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jeanlouir-02</dc:creator>
  <cp:lastModifiedBy>jeanlouir-02</cp:lastModifiedBy>
  <cp:revision>2</cp:revision>
  <cp:lastPrinted>2012-01-29T22:28:00Z</cp:lastPrinted>
  <dcterms:created xsi:type="dcterms:W3CDTF">2012-03-29T08:00:00Z</dcterms:created>
  <dcterms:modified xsi:type="dcterms:W3CDTF">2012-03-29T08:00:00Z</dcterms:modified>
</cp:coreProperties>
</file>